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kinsoku w:val="0"/>
        <w:wordWrap/>
        <w:autoSpaceDE w:val="0"/>
        <w:autoSpaceDN w:val="0"/>
        <w:adjustRightInd w:val="0"/>
        <w:snapToGrid w:val="0"/>
        <w:spacing w:line="560" w:lineRule="exact"/>
        <w:jc w:val="center"/>
        <w:textAlignment w:val="baseline"/>
        <w:rPr>
          <w:rFonts w:hint="default" w:ascii="Times New Roman" w:hAnsi="Times New Roman" w:eastAsia="方正小标宋简体" w:cs="Times New Roman"/>
          <w:sz w:val="44"/>
          <w:szCs w:val="44"/>
          <w:highlight w:val="none"/>
          <w:lang w:val="en-US" w:eastAsia="zh-CN"/>
        </w:rPr>
      </w:pPr>
    </w:p>
    <w:p>
      <w:pPr>
        <w:spacing w:before="137" w:line="219" w:lineRule="auto"/>
        <w:ind w:firstLine="1605"/>
        <w:rPr>
          <w:rFonts w:ascii="宋体" w:hAnsi="宋体" w:eastAsia="宋体" w:cs="宋体"/>
          <w:spacing w:val="17"/>
          <w:sz w:val="42"/>
          <w:szCs w:val="42"/>
        </w:rPr>
      </w:pPr>
    </w:p>
    <w:p>
      <w:pPr>
        <w:spacing w:before="137" w:line="219" w:lineRule="auto"/>
        <w:ind w:firstLine="1605"/>
        <w:rPr>
          <w:rFonts w:ascii="宋体" w:hAnsi="宋体" w:eastAsia="宋体" w:cs="宋体"/>
          <w:spacing w:val="17"/>
          <w:sz w:val="42"/>
          <w:szCs w:val="42"/>
        </w:rPr>
      </w:pPr>
    </w:p>
    <w:p>
      <w:pPr>
        <w:spacing w:before="137" w:line="219" w:lineRule="auto"/>
        <w:ind w:firstLine="1605"/>
        <w:rPr>
          <w:rFonts w:ascii="宋体" w:hAnsi="宋体" w:eastAsia="宋体" w:cs="宋体"/>
          <w:spacing w:val="17"/>
          <w:sz w:val="42"/>
          <w:szCs w:val="42"/>
        </w:rPr>
      </w:pPr>
    </w:p>
    <w:p>
      <w:pPr>
        <w:spacing w:line="338" w:lineRule="auto"/>
        <w:jc w:val="center"/>
        <w:rPr>
          <w:rFonts w:hint="eastAsia" w:ascii="Times New Roman" w:hAnsi="Times New Roman" w:eastAsia="仿宋_GB2312" w:cs="Times New Roman"/>
          <w:i w:val="0"/>
          <w:iCs w:val="0"/>
          <w:caps w:val="0"/>
          <w:color w:val="000000"/>
          <w:spacing w:val="0"/>
          <w:kern w:val="0"/>
          <w:sz w:val="32"/>
          <w:szCs w:val="32"/>
          <w:highlight w:val="none"/>
          <w:shd w:val="clear" w:color="0A0000" w:fill="FFFFFF"/>
          <w:lang w:val="en-US" w:eastAsia="zh-CN"/>
        </w:rPr>
      </w:pPr>
      <w:r>
        <w:rPr>
          <w:rFonts w:hint="default" w:ascii="Times New Roman" w:hAnsi="Times New Roman" w:eastAsia="仿宋_GB2312" w:cs="Times New Roman"/>
          <w:i w:val="0"/>
          <w:iCs w:val="0"/>
          <w:caps w:val="0"/>
          <w:color w:val="000000"/>
          <w:spacing w:val="0"/>
          <w:kern w:val="0"/>
          <w:sz w:val="32"/>
          <w:szCs w:val="32"/>
          <w:highlight w:val="none"/>
          <w:shd w:val="clear" w:color="0A0000" w:fill="FFFFFF"/>
          <w:lang w:val="en-US" w:eastAsia="zh-CN"/>
        </w:rPr>
        <w:t>金政</w:t>
      </w:r>
      <w:r>
        <w:rPr>
          <w:rFonts w:hint="eastAsia" w:ascii="Times New Roman" w:hAnsi="Times New Roman" w:eastAsia="仿宋_GB2312" w:cs="Times New Roman"/>
          <w:i w:val="0"/>
          <w:iCs w:val="0"/>
          <w:caps w:val="0"/>
          <w:color w:val="000000"/>
          <w:spacing w:val="0"/>
          <w:kern w:val="0"/>
          <w:sz w:val="32"/>
          <w:szCs w:val="32"/>
          <w:highlight w:val="none"/>
          <w:shd w:val="clear" w:color="0A0000" w:fill="FFFFFF"/>
          <w:lang w:val="en-US" w:eastAsia="zh-CN"/>
        </w:rPr>
        <w:t>办〔2022</w:t>
      </w:r>
      <w:bookmarkStart w:id="0" w:name="_GoBack"/>
      <w:bookmarkEnd w:id="0"/>
      <w:r>
        <w:rPr>
          <w:rFonts w:hint="eastAsia" w:ascii="Times New Roman" w:hAnsi="Times New Roman" w:eastAsia="仿宋_GB2312" w:cs="Times New Roman"/>
          <w:i w:val="0"/>
          <w:iCs w:val="0"/>
          <w:caps w:val="0"/>
          <w:color w:val="000000"/>
          <w:spacing w:val="0"/>
          <w:kern w:val="0"/>
          <w:sz w:val="32"/>
          <w:szCs w:val="32"/>
          <w:highlight w:val="none"/>
          <w:shd w:val="clear" w:color="0A0000" w:fill="FFFFFF"/>
          <w:lang w:val="en-US" w:eastAsia="zh-CN"/>
        </w:rPr>
        <w:t>〕18号</w:t>
      </w:r>
    </w:p>
    <w:p>
      <w:pPr>
        <w:spacing w:before="137" w:line="219" w:lineRule="auto"/>
        <w:ind w:firstLine="1605"/>
        <w:rPr>
          <w:rFonts w:ascii="宋体" w:hAnsi="宋体" w:eastAsia="宋体" w:cs="宋体"/>
          <w:spacing w:val="17"/>
          <w:sz w:val="42"/>
          <w:szCs w:val="42"/>
        </w:rPr>
      </w:pPr>
    </w:p>
    <w:p>
      <w:pPr>
        <w:pStyle w:val="6"/>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600" w:lineRule="exact"/>
        <w:ind w:right="0"/>
        <w:jc w:val="center"/>
        <w:textAlignment w:val="auto"/>
        <w:rPr>
          <w:rStyle w:val="8"/>
          <w:rFonts w:hint="default" w:ascii="Times New Roman" w:hAnsi="Times New Roman" w:eastAsia="方正小标宋简体" w:cs="Times New Roman"/>
          <w:b w:val="0"/>
          <w:bCs w:val="0"/>
          <w:i w:val="0"/>
          <w:iCs w:val="0"/>
          <w:caps w:val="0"/>
          <w:color w:val="000000"/>
          <w:spacing w:val="0"/>
          <w:sz w:val="44"/>
          <w:szCs w:val="44"/>
          <w:highlight w:val="none"/>
          <w:shd w:val="clear" w:color="0C0000" w:fill="FFFFFF"/>
          <w:lang w:val="en-US" w:eastAsia="zh-CN"/>
        </w:rPr>
      </w:pPr>
      <w:r>
        <w:rPr>
          <w:rStyle w:val="8"/>
          <w:rFonts w:hint="default" w:ascii="Times New Roman" w:hAnsi="Times New Roman" w:eastAsia="方正小标宋简体" w:cs="Times New Roman"/>
          <w:b w:val="0"/>
          <w:bCs w:val="0"/>
          <w:i w:val="0"/>
          <w:iCs w:val="0"/>
          <w:caps w:val="0"/>
          <w:color w:val="000000"/>
          <w:spacing w:val="0"/>
          <w:sz w:val="44"/>
          <w:szCs w:val="44"/>
          <w:highlight w:val="none"/>
          <w:shd w:val="clear" w:color="0C0000" w:fill="FFFFFF"/>
          <w:lang w:val="en-US" w:eastAsia="zh-CN"/>
        </w:rPr>
        <w:t>郑州市金水区人民政府办公室</w:t>
      </w:r>
    </w:p>
    <w:p>
      <w:pPr>
        <w:pStyle w:val="6"/>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600" w:lineRule="exact"/>
        <w:ind w:right="0"/>
        <w:jc w:val="center"/>
        <w:textAlignment w:val="auto"/>
        <w:rPr>
          <w:rStyle w:val="8"/>
          <w:rFonts w:hint="default" w:ascii="Times New Roman" w:hAnsi="Times New Roman" w:eastAsia="方正小标宋简体" w:cs="Times New Roman"/>
          <w:b w:val="0"/>
          <w:bCs w:val="0"/>
          <w:i w:val="0"/>
          <w:iCs w:val="0"/>
          <w:caps w:val="0"/>
          <w:color w:val="000000"/>
          <w:spacing w:val="0"/>
          <w:sz w:val="44"/>
          <w:szCs w:val="44"/>
          <w:highlight w:val="none"/>
          <w:shd w:val="clear" w:color="0C0000" w:fill="FFFFFF"/>
          <w:lang w:val="en-US" w:eastAsia="zh-CN"/>
        </w:rPr>
      </w:pPr>
      <w:r>
        <w:rPr>
          <w:rStyle w:val="8"/>
          <w:rFonts w:hint="default" w:ascii="Times New Roman" w:hAnsi="Times New Roman" w:eastAsia="方正小标宋简体" w:cs="Times New Roman"/>
          <w:b w:val="0"/>
          <w:bCs w:val="0"/>
          <w:i w:val="0"/>
          <w:iCs w:val="0"/>
          <w:caps w:val="0"/>
          <w:color w:val="000000"/>
          <w:spacing w:val="0"/>
          <w:sz w:val="44"/>
          <w:szCs w:val="44"/>
          <w:highlight w:val="none"/>
          <w:shd w:val="clear" w:color="0C0000" w:fill="FFFFFF"/>
          <w:lang w:val="en-US" w:eastAsia="zh-CN"/>
        </w:rPr>
        <w:t>关于印发金水区</w:t>
      </w:r>
      <w:r>
        <w:rPr>
          <w:rStyle w:val="8"/>
          <w:rFonts w:hint="eastAsia" w:ascii="Times New Roman" w:hAnsi="Times New Roman" w:eastAsia="方正小标宋简体" w:cs="Times New Roman"/>
          <w:b w:val="0"/>
          <w:bCs w:val="0"/>
          <w:i w:val="0"/>
          <w:iCs w:val="0"/>
          <w:caps w:val="0"/>
          <w:color w:val="000000"/>
          <w:spacing w:val="0"/>
          <w:sz w:val="44"/>
          <w:szCs w:val="44"/>
          <w:highlight w:val="none"/>
          <w:shd w:val="clear" w:color="0C0000" w:fill="FFFFFF"/>
          <w:lang w:val="en-US" w:eastAsia="zh-CN"/>
        </w:rPr>
        <w:t>关于</w:t>
      </w:r>
      <w:r>
        <w:rPr>
          <w:rStyle w:val="8"/>
          <w:rFonts w:hint="default" w:ascii="Times New Roman" w:hAnsi="Times New Roman" w:eastAsia="方正小标宋简体" w:cs="Times New Roman"/>
          <w:b w:val="0"/>
          <w:bCs w:val="0"/>
          <w:i w:val="0"/>
          <w:iCs w:val="0"/>
          <w:caps w:val="0"/>
          <w:color w:val="000000"/>
          <w:spacing w:val="0"/>
          <w:sz w:val="44"/>
          <w:szCs w:val="44"/>
          <w:highlight w:val="none"/>
          <w:shd w:val="clear" w:color="0C0000" w:fill="FFFFFF"/>
          <w:lang w:val="en-US" w:eastAsia="zh-CN"/>
        </w:rPr>
        <w:t>高效统筹疫情防控和</w:t>
      </w:r>
      <w:r>
        <w:rPr>
          <w:rStyle w:val="8"/>
          <w:rFonts w:hint="eastAsia" w:ascii="Times New Roman" w:hAnsi="Times New Roman" w:eastAsia="方正小标宋简体" w:cs="Times New Roman"/>
          <w:b w:val="0"/>
          <w:bCs w:val="0"/>
          <w:i w:val="0"/>
          <w:iCs w:val="0"/>
          <w:caps w:val="0"/>
          <w:color w:val="000000"/>
          <w:spacing w:val="0"/>
          <w:sz w:val="44"/>
          <w:szCs w:val="44"/>
          <w:highlight w:val="none"/>
          <w:shd w:val="clear" w:color="0C0000" w:fill="FFFFFF"/>
          <w:lang w:val="en-US" w:eastAsia="zh-CN"/>
        </w:rPr>
        <w:t>经</w:t>
      </w:r>
      <w:r>
        <w:rPr>
          <w:rStyle w:val="8"/>
          <w:rFonts w:hint="default" w:ascii="Times New Roman" w:hAnsi="Times New Roman" w:eastAsia="方正小标宋简体" w:cs="Times New Roman"/>
          <w:b w:val="0"/>
          <w:bCs w:val="0"/>
          <w:i w:val="0"/>
          <w:iCs w:val="0"/>
          <w:caps w:val="0"/>
          <w:color w:val="000000"/>
          <w:spacing w:val="0"/>
          <w:sz w:val="44"/>
          <w:szCs w:val="44"/>
          <w:highlight w:val="none"/>
          <w:shd w:val="clear" w:color="0C0000" w:fill="FFFFFF"/>
          <w:lang w:val="en-US" w:eastAsia="zh-CN"/>
        </w:rPr>
        <w:t>济社会发展的若干政策措施的通知</w:t>
      </w:r>
    </w:p>
    <w:p>
      <w:pPr>
        <w:spacing w:line="338" w:lineRule="auto"/>
        <w:rPr>
          <w:rFonts w:hint="default" w:ascii="Times New Roman" w:hAnsi="Times New Roman" w:eastAsia="仿宋_GB2312" w:cs="Times New Roman"/>
          <w:i w:val="0"/>
          <w:iCs w:val="0"/>
          <w:caps w:val="0"/>
          <w:color w:val="000000"/>
          <w:spacing w:val="0"/>
          <w:kern w:val="0"/>
          <w:sz w:val="32"/>
          <w:szCs w:val="32"/>
          <w:highlight w:val="none"/>
          <w:shd w:val="clear" w:color="0A0000" w:fill="FFFFFF"/>
          <w:lang w:val="en-US" w:eastAsia="zh-CN"/>
        </w:rPr>
      </w:pPr>
    </w:p>
    <w:p>
      <w:pPr>
        <w:spacing w:line="338" w:lineRule="auto"/>
        <w:rPr>
          <w:rFonts w:hint="default" w:ascii="Times New Roman" w:hAnsi="Times New Roman" w:eastAsia="仿宋_GB2312" w:cs="Times New Roman"/>
          <w:i w:val="0"/>
          <w:iCs w:val="0"/>
          <w:caps w:val="0"/>
          <w:color w:val="000000"/>
          <w:spacing w:val="0"/>
          <w:kern w:val="0"/>
          <w:sz w:val="32"/>
          <w:szCs w:val="32"/>
          <w:highlight w:val="none"/>
          <w:shd w:val="clear" w:color="0A0000" w:fill="FFFFFF"/>
          <w:lang w:val="en-US" w:eastAsia="zh-CN"/>
        </w:rPr>
      </w:pPr>
      <w:r>
        <w:rPr>
          <w:rFonts w:hint="default" w:ascii="Times New Roman" w:hAnsi="Times New Roman" w:eastAsia="仿宋_GB2312" w:cs="Times New Roman"/>
          <w:i w:val="0"/>
          <w:iCs w:val="0"/>
          <w:caps w:val="0"/>
          <w:color w:val="000000"/>
          <w:spacing w:val="0"/>
          <w:kern w:val="0"/>
          <w:sz w:val="32"/>
          <w:szCs w:val="32"/>
          <w:highlight w:val="none"/>
          <w:shd w:val="clear" w:color="0A0000" w:fill="FFFFFF"/>
          <w:lang w:val="en-US" w:eastAsia="zh-CN"/>
        </w:rPr>
        <w:t>区管委会</w:t>
      </w:r>
      <w:r>
        <w:rPr>
          <w:rFonts w:hint="eastAsia" w:ascii="Times New Roman" w:hAnsi="Times New Roman" w:eastAsia="仿宋_GB2312" w:cs="Times New Roman"/>
          <w:i w:val="0"/>
          <w:iCs w:val="0"/>
          <w:caps w:val="0"/>
          <w:color w:val="000000"/>
          <w:spacing w:val="0"/>
          <w:kern w:val="0"/>
          <w:sz w:val="32"/>
          <w:szCs w:val="32"/>
          <w:highlight w:val="none"/>
          <w:shd w:val="clear" w:color="0A0000" w:fill="FFFFFF"/>
          <w:lang w:val="en-US" w:eastAsia="zh-CN"/>
        </w:rPr>
        <w:t>，</w:t>
      </w:r>
      <w:r>
        <w:rPr>
          <w:rFonts w:hint="default" w:ascii="Times New Roman" w:hAnsi="Times New Roman" w:eastAsia="仿宋_GB2312" w:cs="Times New Roman"/>
          <w:i w:val="0"/>
          <w:iCs w:val="0"/>
          <w:caps w:val="0"/>
          <w:color w:val="000000"/>
          <w:spacing w:val="0"/>
          <w:kern w:val="0"/>
          <w:sz w:val="32"/>
          <w:szCs w:val="32"/>
          <w:highlight w:val="none"/>
          <w:shd w:val="clear" w:color="0A0000" w:fill="FFFFFF"/>
          <w:lang w:val="en-US" w:eastAsia="zh-CN"/>
        </w:rPr>
        <w:t>各街道办事处</w:t>
      </w:r>
      <w:r>
        <w:rPr>
          <w:rFonts w:hint="eastAsia" w:ascii="Times New Roman" w:hAnsi="Times New Roman" w:eastAsia="仿宋_GB2312" w:cs="Times New Roman"/>
          <w:i w:val="0"/>
          <w:iCs w:val="0"/>
          <w:caps w:val="0"/>
          <w:color w:val="000000"/>
          <w:spacing w:val="0"/>
          <w:kern w:val="0"/>
          <w:sz w:val="32"/>
          <w:szCs w:val="32"/>
          <w:highlight w:val="none"/>
          <w:shd w:val="clear" w:color="0A0000" w:fill="FFFFFF"/>
          <w:lang w:val="en-US" w:eastAsia="zh-CN"/>
        </w:rPr>
        <w:t>，</w:t>
      </w:r>
      <w:r>
        <w:rPr>
          <w:rFonts w:hint="default" w:ascii="Times New Roman" w:hAnsi="Times New Roman" w:eastAsia="仿宋_GB2312" w:cs="Times New Roman"/>
          <w:i w:val="0"/>
          <w:iCs w:val="0"/>
          <w:caps w:val="0"/>
          <w:color w:val="000000"/>
          <w:spacing w:val="0"/>
          <w:kern w:val="0"/>
          <w:sz w:val="32"/>
          <w:szCs w:val="32"/>
          <w:highlight w:val="none"/>
          <w:shd w:val="clear" w:color="0A0000" w:fill="FFFFFF"/>
          <w:lang w:val="en-US" w:eastAsia="zh-CN"/>
        </w:rPr>
        <w:t>区人民政府各部门</w:t>
      </w:r>
      <w:r>
        <w:rPr>
          <w:rFonts w:hint="eastAsia" w:ascii="Times New Roman" w:hAnsi="Times New Roman" w:eastAsia="仿宋_GB2312" w:cs="Times New Roman"/>
          <w:i w:val="0"/>
          <w:iCs w:val="0"/>
          <w:caps w:val="0"/>
          <w:color w:val="000000"/>
          <w:spacing w:val="0"/>
          <w:kern w:val="0"/>
          <w:sz w:val="32"/>
          <w:szCs w:val="32"/>
          <w:highlight w:val="none"/>
          <w:shd w:val="clear" w:color="0A0000" w:fill="FFFFFF"/>
          <w:lang w:val="en-US" w:eastAsia="zh-CN"/>
        </w:rPr>
        <w:t>，</w:t>
      </w:r>
      <w:r>
        <w:rPr>
          <w:rFonts w:hint="default" w:ascii="Times New Roman" w:hAnsi="Times New Roman" w:eastAsia="仿宋_GB2312" w:cs="Times New Roman"/>
          <w:i w:val="0"/>
          <w:iCs w:val="0"/>
          <w:caps w:val="0"/>
          <w:color w:val="000000"/>
          <w:spacing w:val="0"/>
          <w:kern w:val="0"/>
          <w:sz w:val="32"/>
          <w:szCs w:val="32"/>
          <w:highlight w:val="none"/>
          <w:shd w:val="clear" w:color="0A0000" w:fill="FFFFFF"/>
          <w:lang w:val="en-US" w:eastAsia="zh-CN"/>
        </w:rPr>
        <w:t>各有关单位</w:t>
      </w:r>
      <w:r>
        <w:rPr>
          <w:rFonts w:hint="eastAsia" w:ascii="Times New Roman" w:hAnsi="Times New Roman" w:eastAsia="仿宋_GB2312" w:cs="Times New Roman"/>
          <w:i w:val="0"/>
          <w:iCs w:val="0"/>
          <w:caps w:val="0"/>
          <w:color w:val="000000"/>
          <w:spacing w:val="0"/>
          <w:kern w:val="0"/>
          <w:sz w:val="32"/>
          <w:szCs w:val="32"/>
          <w:highlight w:val="none"/>
          <w:shd w:val="clear" w:color="0A0000" w:fill="FFFFFF"/>
          <w:lang w:val="en-US" w:eastAsia="zh-CN"/>
        </w:rPr>
        <w:t>：</w:t>
      </w:r>
    </w:p>
    <w:p>
      <w:pPr>
        <w:widowControl w:val="0"/>
        <w:wordWrap/>
        <w:adjustRightInd/>
        <w:snapToGrid/>
        <w:spacing w:before="101" w:line="600" w:lineRule="exact"/>
        <w:ind w:right="62" w:firstLine="640" w:firstLineChars="200"/>
        <w:jc w:val="left"/>
        <w:textAlignment w:val="auto"/>
        <w:rPr>
          <w:rFonts w:hint="default" w:ascii="Times New Roman" w:hAnsi="Times New Roman" w:eastAsia="仿宋_GB2312" w:cs="Times New Roman"/>
          <w:i w:val="0"/>
          <w:iCs w:val="0"/>
          <w:caps w:val="0"/>
          <w:color w:val="000000"/>
          <w:spacing w:val="0"/>
          <w:kern w:val="0"/>
          <w:sz w:val="32"/>
          <w:szCs w:val="32"/>
          <w:highlight w:val="none"/>
          <w:shd w:val="clear" w:color="0A0000" w:fill="FFFFFF"/>
          <w:lang w:val="en-US" w:eastAsia="zh-CN"/>
        </w:rPr>
      </w:pPr>
      <w:r>
        <w:rPr>
          <w:rFonts w:hint="default" w:ascii="Times New Roman" w:hAnsi="Times New Roman" w:eastAsia="仿宋_GB2312" w:cs="Times New Roman"/>
          <w:i w:val="0"/>
          <w:iCs w:val="0"/>
          <w:caps w:val="0"/>
          <w:color w:val="000000"/>
          <w:spacing w:val="0"/>
          <w:kern w:val="0"/>
          <w:sz w:val="32"/>
          <w:szCs w:val="32"/>
          <w:highlight w:val="none"/>
          <w:shd w:val="clear" w:color="0A0000" w:fill="FFFFFF"/>
          <w:lang w:val="en-US" w:eastAsia="zh-CN"/>
        </w:rPr>
        <w:t>《金水区高效统筹疫情防控和经济社会发展若干</w:t>
      </w:r>
      <w:r>
        <w:rPr>
          <w:rFonts w:hint="eastAsia" w:ascii="Times New Roman" w:hAnsi="Times New Roman" w:eastAsia="仿宋_GB2312" w:cs="Times New Roman"/>
          <w:i w:val="0"/>
          <w:iCs w:val="0"/>
          <w:caps w:val="0"/>
          <w:color w:val="000000"/>
          <w:spacing w:val="0"/>
          <w:kern w:val="0"/>
          <w:sz w:val="32"/>
          <w:szCs w:val="32"/>
          <w:highlight w:val="none"/>
          <w:shd w:val="clear" w:color="0A0000" w:fill="FFFFFF"/>
          <w:lang w:val="en-US" w:eastAsia="zh-CN"/>
        </w:rPr>
        <w:t>政策措施》已经区政府同意，现印发给你们，</w:t>
      </w:r>
      <w:r>
        <w:rPr>
          <w:rFonts w:hint="default" w:ascii="Times New Roman" w:hAnsi="Times New Roman" w:eastAsia="仿宋_GB2312" w:cs="Times New Roman"/>
          <w:i w:val="0"/>
          <w:iCs w:val="0"/>
          <w:caps w:val="0"/>
          <w:color w:val="000000"/>
          <w:spacing w:val="0"/>
          <w:kern w:val="0"/>
          <w:sz w:val="32"/>
          <w:szCs w:val="32"/>
          <w:highlight w:val="none"/>
          <w:shd w:val="clear" w:color="0A0000" w:fill="FFFFFF"/>
          <w:lang w:val="en-US" w:eastAsia="zh-CN"/>
        </w:rPr>
        <w:t>请认真遵照执行。</w:t>
      </w:r>
    </w:p>
    <w:p>
      <w:pPr>
        <w:pStyle w:val="2"/>
        <w:widowControl w:val="0"/>
        <w:wordWrap/>
        <w:adjustRightInd/>
        <w:snapToGrid/>
        <w:spacing w:line="600" w:lineRule="exact"/>
        <w:textAlignment w:val="auto"/>
        <w:rPr>
          <w:rFonts w:hint="eastAsia" w:ascii="Times New Roman" w:hAnsi="Times New Roman" w:eastAsia="仿宋_GB2312" w:cs="Times New Roman"/>
          <w:b w:val="0"/>
          <w:i w:val="0"/>
          <w:iCs w:val="0"/>
          <w:caps w:val="0"/>
          <w:color w:val="000000"/>
          <w:spacing w:val="0"/>
          <w:kern w:val="0"/>
          <w:sz w:val="32"/>
          <w:szCs w:val="32"/>
          <w:highlight w:val="none"/>
          <w:shd w:val="clear" w:color="0B0000" w:fill="FFFFFF"/>
          <w:lang w:val="en-US" w:eastAsia="zh-CN"/>
        </w:rPr>
      </w:pPr>
    </w:p>
    <w:p>
      <w:pPr>
        <w:pStyle w:val="2"/>
        <w:widowControl w:val="0"/>
        <w:wordWrap/>
        <w:adjustRightInd/>
        <w:snapToGrid/>
        <w:spacing w:line="600" w:lineRule="exact"/>
        <w:jc w:val="right"/>
        <w:textAlignment w:val="auto"/>
        <w:rPr>
          <w:rFonts w:hint="eastAsia" w:ascii="Times New Roman" w:hAnsi="Times New Roman" w:eastAsia="仿宋_GB2312" w:cs="Times New Roman"/>
          <w:b w:val="0"/>
          <w:i w:val="0"/>
          <w:iCs w:val="0"/>
          <w:caps w:val="0"/>
          <w:color w:val="000000"/>
          <w:spacing w:val="0"/>
          <w:kern w:val="0"/>
          <w:sz w:val="32"/>
          <w:szCs w:val="32"/>
          <w:highlight w:val="none"/>
          <w:shd w:val="clear" w:color="0B0000" w:fill="FFFFFF"/>
          <w:lang w:val="en-US" w:eastAsia="zh-CN"/>
        </w:rPr>
      </w:pPr>
    </w:p>
    <w:p>
      <w:pPr>
        <w:pStyle w:val="2"/>
        <w:widowControl w:val="0"/>
        <w:wordWrap/>
        <w:adjustRightInd/>
        <w:snapToGrid/>
        <w:spacing w:line="600" w:lineRule="exact"/>
        <w:jc w:val="right"/>
        <w:textAlignment w:val="auto"/>
        <w:rPr>
          <w:rFonts w:hint="default" w:ascii="Times New Roman" w:hAnsi="Times New Roman" w:eastAsia="仿宋_GB2312" w:cs="Times New Roman"/>
          <w:b w:val="0"/>
          <w:i w:val="0"/>
          <w:iCs w:val="0"/>
          <w:caps w:val="0"/>
          <w:color w:val="000000"/>
          <w:spacing w:val="0"/>
          <w:kern w:val="0"/>
          <w:sz w:val="32"/>
          <w:szCs w:val="32"/>
          <w:highlight w:val="none"/>
          <w:shd w:val="clear" w:color="0B0000" w:fill="FFFFFF"/>
          <w:lang w:val="en-US" w:eastAsia="zh-CN"/>
        </w:rPr>
      </w:pPr>
      <w:r>
        <w:rPr>
          <w:rFonts w:hint="eastAsia" w:ascii="Times New Roman" w:hAnsi="Times New Roman" w:eastAsia="仿宋_GB2312" w:cs="Times New Roman"/>
          <w:b w:val="0"/>
          <w:i w:val="0"/>
          <w:iCs w:val="0"/>
          <w:caps w:val="0"/>
          <w:color w:val="000000"/>
          <w:spacing w:val="0"/>
          <w:kern w:val="0"/>
          <w:sz w:val="32"/>
          <w:szCs w:val="32"/>
          <w:highlight w:val="none"/>
          <w:shd w:val="clear" w:color="0B0000" w:fill="FFFFFF"/>
          <w:lang w:val="en-US" w:eastAsia="zh-CN"/>
        </w:rPr>
        <w:t>2022年6月1日</w:t>
      </w:r>
    </w:p>
    <w:p>
      <w:pPr>
        <w:widowControl w:val="0"/>
        <w:wordWrap/>
        <w:adjustRightInd/>
        <w:snapToGrid/>
        <w:spacing w:line="600" w:lineRule="exact"/>
        <w:textAlignment w:val="auto"/>
        <w:rPr>
          <w:rFonts w:ascii="Arial"/>
          <w:sz w:val="21"/>
        </w:rPr>
      </w:pPr>
    </w:p>
    <w:p>
      <w:pPr>
        <w:pStyle w:val="6"/>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600" w:lineRule="exact"/>
        <w:ind w:right="0"/>
        <w:jc w:val="left"/>
        <w:textAlignment w:val="auto"/>
        <w:rPr>
          <w:rFonts w:hint="eastAsia" w:ascii="Times New Roman" w:hAnsi="Times New Roman" w:eastAsia="黑体" w:cs="Times New Roman"/>
          <w:i w:val="0"/>
          <w:iCs w:val="0"/>
          <w:caps w:val="0"/>
          <w:color w:val="000000"/>
          <w:spacing w:val="0"/>
          <w:kern w:val="2"/>
          <w:sz w:val="32"/>
          <w:szCs w:val="32"/>
          <w:highlight w:val="none"/>
          <w:shd w:val="clear" w:color="0A0000" w:fill="FFFFFF"/>
          <w:lang w:val="en-US" w:eastAsia="zh-CN" w:bidi="ar-SA"/>
        </w:rPr>
      </w:pPr>
    </w:p>
    <w:p>
      <w:pPr>
        <w:pStyle w:val="6"/>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600" w:lineRule="exact"/>
        <w:ind w:right="0"/>
        <w:jc w:val="center"/>
        <w:textAlignment w:val="auto"/>
        <w:rPr>
          <w:rStyle w:val="8"/>
          <w:rFonts w:hint="default" w:ascii="Times New Roman" w:hAnsi="Times New Roman" w:eastAsia="方正小标宋简体" w:cs="Times New Roman"/>
          <w:b w:val="0"/>
          <w:bCs w:val="0"/>
          <w:i w:val="0"/>
          <w:iCs w:val="0"/>
          <w:caps w:val="0"/>
          <w:color w:val="000000"/>
          <w:spacing w:val="0"/>
          <w:sz w:val="44"/>
          <w:szCs w:val="44"/>
          <w:highlight w:val="none"/>
          <w:shd w:val="clear" w:color="0C0000" w:fill="FFFFFF"/>
          <w:lang w:val="en-US" w:eastAsia="zh-CN"/>
        </w:rPr>
      </w:pPr>
      <w:r>
        <w:rPr>
          <w:rStyle w:val="8"/>
          <w:rFonts w:hint="default" w:ascii="Times New Roman" w:hAnsi="Times New Roman" w:eastAsia="方正小标宋简体" w:cs="Times New Roman"/>
          <w:b w:val="0"/>
          <w:bCs w:val="0"/>
          <w:i w:val="0"/>
          <w:iCs w:val="0"/>
          <w:caps w:val="0"/>
          <w:color w:val="000000"/>
          <w:spacing w:val="0"/>
          <w:sz w:val="44"/>
          <w:szCs w:val="44"/>
          <w:highlight w:val="none"/>
          <w:shd w:val="clear" w:color="0C0000" w:fill="FFFFFF"/>
          <w:lang w:val="en-US" w:eastAsia="zh-CN"/>
        </w:rPr>
        <w:t>金水区高效统筹疫情防控</w:t>
      </w:r>
    </w:p>
    <w:p>
      <w:pPr>
        <w:pStyle w:val="6"/>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600" w:lineRule="exact"/>
        <w:ind w:right="0"/>
        <w:jc w:val="center"/>
        <w:textAlignment w:val="auto"/>
        <w:rPr>
          <w:rStyle w:val="8"/>
          <w:rFonts w:hint="default" w:ascii="Times New Roman" w:hAnsi="Times New Roman" w:eastAsia="方正小标宋简体" w:cs="Times New Roman"/>
          <w:b w:val="0"/>
          <w:bCs w:val="0"/>
          <w:i w:val="0"/>
          <w:iCs w:val="0"/>
          <w:caps w:val="0"/>
          <w:color w:val="000000"/>
          <w:spacing w:val="0"/>
          <w:sz w:val="44"/>
          <w:szCs w:val="44"/>
          <w:highlight w:val="none"/>
          <w:shd w:val="clear" w:color="0C0000" w:fill="FFFFFF"/>
          <w:lang w:val="en-US" w:eastAsia="zh-CN"/>
        </w:rPr>
      </w:pPr>
      <w:r>
        <w:rPr>
          <w:rStyle w:val="8"/>
          <w:rFonts w:hint="default" w:ascii="Times New Roman" w:hAnsi="Times New Roman" w:eastAsia="方正小标宋简体" w:cs="Times New Roman"/>
          <w:b w:val="0"/>
          <w:bCs w:val="0"/>
          <w:i w:val="0"/>
          <w:iCs w:val="0"/>
          <w:caps w:val="0"/>
          <w:color w:val="000000"/>
          <w:spacing w:val="0"/>
          <w:sz w:val="44"/>
          <w:szCs w:val="44"/>
          <w:highlight w:val="none"/>
          <w:shd w:val="clear" w:color="0C0000" w:fill="FFFFFF"/>
          <w:lang w:val="en-US" w:eastAsia="zh-CN"/>
        </w:rPr>
        <w:t>和经济社会发展若干政策措施</w:t>
      </w:r>
    </w:p>
    <w:p>
      <w:pPr>
        <w:pStyle w:val="6"/>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600" w:lineRule="exact"/>
        <w:ind w:right="0"/>
        <w:jc w:val="center"/>
        <w:textAlignment w:val="auto"/>
        <w:rPr>
          <w:rStyle w:val="8"/>
          <w:rFonts w:hint="default" w:ascii="Times New Roman" w:hAnsi="Times New Roman" w:eastAsia="楷体_GB2312" w:cs="Times New Roman"/>
          <w:b w:val="0"/>
          <w:bCs w:val="0"/>
          <w:i w:val="0"/>
          <w:iCs w:val="0"/>
          <w:caps w:val="0"/>
          <w:color w:val="000000"/>
          <w:spacing w:val="0"/>
          <w:sz w:val="32"/>
          <w:szCs w:val="32"/>
          <w:highlight w:val="none"/>
          <w:shd w:val="clear" w:color="0C0000" w:fill="FFFFFF"/>
          <w:lang w:val="en-US" w:eastAsia="zh-CN"/>
        </w:rPr>
      </w:pPr>
    </w:p>
    <w:p>
      <w:pPr>
        <w:pStyle w:val="6"/>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600" w:lineRule="exact"/>
        <w:ind w:right="0"/>
        <w:jc w:val="center"/>
        <w:textAlignment w:val="auto"/>
        <w:rPr>
          <w:rStyle w:val="8"/>
          <w:rFonts w:hint="default" w:ascii="Times New Roman" w:hAnsi="Times New Roman" w:eastAsia="楷体_GB2312" w:cs="Times New Roman"/>
          <w:b w:val="0"/>
          <w:bCs w:val="0"/>
          <w:i w:val="0"/>
          <w:iCs w:val="0"/>
          <w:caps w:val="0"/>
          <w:color w:val="000000"/>
          <w:spacing w:val="0"/>
          <w:sz w:val="32"/>
          <w:szCs w:val="32"/>
          <w:highlight w:val="none"/>
          <w:shd w:val="clear" w:color="0C0000" w:fill="FFFFFF"/>
          <w:lang w:val="en-US" w:eastAsia="zh-CN"/>
        </w:rPr>
      </w:pPr>
    </w:p>
    <w:p>
      <w:pPr>
        <w:pStyle w:val="6"/>
        <w:widowControl/>
        <w:numPr>
          <w:numId w:val="0"/>
        </w:numPr>
        <w:pBdr>
          <w:top w:val="none" w:color="auto" w:sz="0" w:space="0"/>
          <w:left w:val="none" w:color="auto" w:sz="0" w:space="0"/>
          <w:bottom w:val="none" w:color="auto" w:sz="0" w:space="0"/>
          <w:right w:val="none" w:color="auto" w:sz="0" w:space="0"/>
        </w:pBdr>
        <w:wordWrap/>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仿宋_GB2312" w:cs="Times New Roman"/>
          <w:i w:val="0"/>
          <w:iCs w:val="0"/>
          <w:caps w:val="0"/>
          <w:color w:val="000000"/>
          <w:spacing w:val="0"/>
          <w:sz w:val="32"/>
          <w:szCs w:val="32"/>
          <w:highlight w:val="none"/>
          <w:shd w:val="clear" w:color="090000" w:fill="FFFFFF"/>
          <w:lang w:val="en-US" w:eastAsia="zh-CN"/>
        </w:rPr>
      </w:pPr>
      <w:r>
        <w:rPr>
          <w:rFonts w:hint="default" w:ascii="Times New Roman" w:hAnsi="Times New Roman" w:eastAsia="仿宋_GB2312" w:cs="Times New Roman"/>
          <w:i w:val="0"/>
          <w:iCs w:val="0"/>
          <w:caps w:val="0"/>
          <w:color w:val="000000"/>
          <w:spacing w:val="0"/>
          <w:sz w:val="32"/>
          <w:szCs w:val="32"/>
          <w:highlight w:val="none"/>
          <w:shd w:val="clear" w:color="090000" w:fill="FFFFFF"/>
          <w:lang w:val="en-US" w:eastAsia="zh-CN"/>
        </w:rPr>
        <w:t>为深入贯彻全国稳住经济大盘会议精神，全面落实中央、省、市、区各项决策部署，全面把牢“疫情要防住、经济要稳住、发展要安全”的重大要求，进一步深化“万人助万企”和“三个一批”活动，进一步加大助企惠企力度，高效统筹疫情防控和经济社会发展，积极营造“平稳、健康、安全、有序”的发展氛围，持续扮靓“金质”营商环境，努力实现“双战双赢”，结合金水区实际，制定《金水区高效统筹疫情防控和经济社会发展若干政策措施》（简称“抗疫助企26条”）。</w:t>
      </w:r>
    </w:p>
    <w:p>
      <w:pPr>
        <w:pStyle w:val="3"/>
        <w:numPr>
          <w:ilvl w:val="0"/>
          <w:numId w:val="1"/>
        </w:numPr>
        <w:wordWrap/>
        <w:adjustRightInd/>
        <w:snapToGrid/>
        <w:spacing w:beforeAutospacing="0" w:afterAutospacing="0" w:line="600" w:lineRule="exact"/>
        <w:ind w:firstLine="640" w:firstLineChars="200"/>
        <w:jc w:val="both"/>
        <w:textAlignment w:val="auto"/>
        <w:rPr>
          <w:rFonts w:hint="default" w:ascii="Times New Roman" w:hAnsi="Times New Roman" w:eastAsia="黑体" w:cs="Times New Roman"/>
          <w:b w:val="0"/>
          <w:bCs w:val="0"/>
          <w:i w:val="0"/>
          <w:iCs w:val="0"/>
          <w:caps w:val="0"/>
          <w:color w:val="000000"/>
          <w:spacing w:val="0"/>
          <w:kern w:val="0"/>
          <w:sz w:val="32"/>
          <w:szCs w:val="32"/>
          <w:highlight w:val="none"/>
          <w:shd w:val="clear" w:color="0C0000" w:fill="FFFFFF"/>
          <w:lang w:val="en-US" w:eastAsia="zh-CN"/>
        </w:rPr>
      </w:pPr>
      <w:r>
        <w:rPr>
          <w:rFonts w:hint="default" w:ascii="Times New Roman" w:hAnsi="Times New Roman" w:eastAsia="黑体" w:cs="Times New Roman"/>
          <w:b w:val="0"/>
          <w:bCs w:val="0"/>
          <w:i w:val="0"/>
          <w:iCs w:val="0"/>
          <w:caps w:val="0"/>
          <w:color w:val="000000"/>
          <w:spacing w:val="0"/>
          <w:kern w:val="0"/>
          <w:sz w:val="32"/>
          <w:szCs w:val="32"/>
          <w:highlight w:val="none"/>
          <w:shd w:val="clear" w:color="0C0000" w:fill="FFFFFF"/>
          <w:lang w:val="en-US" w:eastAsia="zh-CN"/>
        </w:rPr>
        <w:t>持续做好常态化疫情防控</w:t>
      </w:r>
    </w:p>
    <w:p>
      <w:pPr>
        <w:numPr>
          <w:numId w:val="0"/>
        </w:numPr>
        <w:wordWrap/>
        <w:adjustRightInd/>
        <w:snapToGrid/>
        <w:spacing w:line="600" w:lineRule="exact"/>
        <w:ind w:firstLine="643" w:firstLineChars="200"/>
        <w:jc w:val="both"/>
        <w:textAlignment w:val="auto"/>
        <w:rPr>
          <w:rFonts w:hint="default" w:ascii="Times New Roman" w:hAnsi="Times New Roman" w:eastAsia="楷体_GB2312" w:cs="Times New Roman"/>
          <w:b w:val="0"/>
          <w:bCs w:val="0"/>
          <w:i w:val="0"/>
          <w:iCs w:val="0"/>
          <w:caps w:val="0"/>
          <w:color w:val="000000"/>
          <w:spacing w:val="0"/>
          <w:kern w:val="0"/>
          <w:sz w:val="32"/>
          <w:szCs w:val="32"/>
          <w:highlight w:val="none"/>
          <w:shd w:val="clear" w:color="0C0000" w:fill="FFFFFF"/>
          <w:lang w:val="en-US" w:eastAsia="zh-CN"/>
        </w:rPr>
      </w:pPr>
      <w:r>
        <w:rPr>
          <w:rStyle w:val="8"/>
          <w:rFonts w:hint="default" w:ascii="Times New Roman" w:hAnsi="Times New Roman" w:eastAsia="楷体_GB2312" w:cs="Times New Roman"/>
          <w:bCs/>
          <w:i w:val="0"/>
          <w:iCs w:val="0"/>
          <w:caps w:val="0"/>
          <w:color w:val="000000"/>
          <w:spacing w:val="0"/>
          <w:kern w:val="0"/>
          <w:sz w:val="32"/>
          <w:szCs w:val="32"/>
          <w:highlight w:val="none"/>
          <w:shd w:val="clear" w:color="0C0000" w:fill="FFFFFF"/>
          <w:lang w:val="en-US" w:eastAsia="zh-CN"/>
        </w:rPr>
        <w:t>1、织密常态化疫情防控安全网。</w:t>
      </w:r>
      <w:r>
        <w:rPr>
          <w:rFonts w:hint="default" w:ascii="Times New Roman" w:hAnsi="Times New Roman" w:eastAsia="仿宋_GB2312" w:cs="Times New Roman"/>
          <w:b w:val="0"/>
          <w:bCs w:val="0"/>
          <w:i w:val="0"/>
          <w:iCs w:val="0"/>
          <w:caps w:val="0"/>
          <w:color w:val="000000"/>
          <w:spacing w:val="0"/>
          <w:kern w:val="0"/>
          <w:sz w:val="32"/>
          <w:szCs w:val="32"/>
          <w:highlight w:val="none"/>
          <w:shd w:val="clear" w:color="0C0000" w:fill="FFFFFF"/>
          <w:lang w:val="en-US" w:eastAsia="zh-CN"/>
        </w:rPr>
        <w:t>建立常态化核酸检测机制，在大型工业企业、建筑工地、商超、农批农贸市场、电商园区、交通场站等地点统一设置“核酸采样小屋”，构建步行“15分钟核酸检测采样圈”，为员工群众提供就近便捷免费的检测服务。实现各类公共场所“场所码”全覆盖，对有多个入口的商场、超市、酒店、写字楼等场所要做到一门一码、一点一码、应设尽设、应扫尽扫。推动平疫结合的集中隔离点建设，强化应急准备。</w:t>
      </w:r>
      <w:r>
        <w:rPr>
          <w:rFonts w:hint="default" w:ascii="Times New Roman" w:hAnsi="Times New Roman" w:eastAsia="楷体_GB2312" w:cs="Times New Roman"/>
          <w:b w:val="0"/>
          <w:bCs w:val="0"/>
          <w:i w:val="0"/>
          <w:iCs w:val="0"/>
          <w:caps w:val="0"/>
          <w:color w:val="000000"/>
          <w:spacing w:val="0"/>
          <w:kern w:val="0"/>
          <w:sz w:val="32"/>
          <w:szCs w:val="32"/>
          <w:highlight w:val="none"/>
          <w:shd w:val="clear" w:color="0C0000" w:fill="FFFFFF"/>
          <w:lang w:val="en-US" w:eastAsia="zh-CN"/>
        </w:rPr>
        <w:t>（责任单位：区疫情防控指挥部）</w:t>
      </w:r>
    </w:p>
    <w:p>
      <w:pPr>
        <w:pStyle w:val="3"/>
        <w:wordWrap/>
        <w:adjustRightInd/>
        <w:snapToGrid/>
        <w:spacing w:beforeAutospacing="0" w:afterAutospacing="0" w:line="600" w:lineRule="exact"/>
        <w:ind w:firstLine="643" w:firstLineChars="200"/>
        <w:jc w:val="both"/>
        <w:textAlignment w:val="auto"/>
        <w:rPr>
          <w:rFonts w:hint="default" w:ascii="Times New Roman" w:hAnsi="Times New Roman" w:eastAsia="仿宋_GB2312" w:cs="Times New Roman"/>
          <w:b w:val="0"/>
          <w:bCs w:val="0"/>
          <w:i w:val="0"/>
          <w:iCs w:val="0"/>
          <w:caps w:val="0"/>
          <w:color w:val="000000"/>
          <w:spacing w:val="0"/>
          <w:kern w:val="0"/>
          <w:sz w:val="32"/>
          <w:szCs w:val="32"/>
          <w:highlight w:val="none"/>
          <w:shd w:val="clear" w:color="0C0000" w:fill="FFFFFF"/>
          <w:lang w:val="en-US" w:eastAsia="zh-CN"/>
        </w:rPr>
      </w:pPr>
      <w:r>
        <w:rPr>
          <w:rStyle w:val="8"/>
          <w:rFonts w:hint="default" w:ascii="Times New Roman" w:hAnsi="Times New Roman" w:eastAsia="楷体_GB2312" w:cs="Times New Roman"/>
          <w:b/>
          <w:bCs/>
          <w:i w:val="0"/>
          <w:iCs w:val="0"/>
          <w:caps w:val="0"/>
          <w:color w:val="000000"/>
          <w:spacing w:val="0"/>
          <w:kern w:val="0"/>
          <w:sz w:val="32"/>
          <w:szCs w:val="32"/>
          <w:highlight w:val="none"/>
          <w:shd w:val="clear" w:color="0D0000" w:fill="FFFFFF"/>
          <w:lang w:val="en-US" w:eastAsia="zh-CN"/>
        </w:rPr>
        <w:t>2、支持住宿餐饮业企业做好防疫工作。</w:t>
      </w:r>
      <w:r>
        <w:rPr>
          <w:rFonts w:hint="default" w:ascii="Times New Roman" w:hAnsi="Times New Roman" w:eastAsia="仿宋_GB2312" w:cs="Times New Roman"/>
          <w:b w:val="0"/>
          <w:bCs w:val="0"/>
          <w:i w:val="0"/>
          <w:iCs w:val="0"/>
          <w:caps w:val="0"/>
          <w:color w:val="000000"/>
          <w:spacing w:val="0"/>
          <w:kern w:val="0"/>
          <w:sz w:val="32"/>
          <w:szCs w:val="32"/>
          <w:highlight w:val="none"/>
          <w:shd w:val="clear" w:color="0C0000" w:fill="FFFFFF"/>
          <w:lang w:val="en-US" w:eastAsia="zh-CN"/>
        </w:rPr>
        <w:t>对购买防疫物资严守防疫防线的限额以上住宿餐饮业企业，给予一次性购买金额50%补贴，单个企业最高不超过3000元。</w:t>
      </w:r>
      <w:r>
        <w:rPr>
          <w:rFonts w:hint="default" w:ascii="Times New Roman" w:hAnsi="Times New Roman" w:eastAsia="楷体_GB2312" w:cs="Times New Roman"/>
          <w:b w:val="0"/>
          <w:bCs w:val="0"/>
          <w:i w:val="0"/>
          <w:iCs w:val="0"/>
          <w:caps w:val="0"/>
          <w:color w:val="000000"/>
          <w:spacing w:val="0"/>
          <w:kern w:val="0"/>
          <w:sz w:val="32"/>
          <w:szCs w:val="32"/>
          <w:highlight w:val="none"/>
          <w:shd w:val="clear" w:color="0C0000" w:fill="FFFFFF"/>
          <w:lang w:val="en-US" w:eastAsia="zh-CN"/>
        </w:rPr>
        <w:t>（责任单位：区商务局）</w:t>
      </w:r>
    </w:p>
    <w:p>
      <w:pPr>
        <w:pStyle w:val="3"/>
        <w:wordWrap/>
        <w:adjustRightInd/>
        <w:snapToGrid/>
        <w:spacing w:beforeAutospacing="0" w:afterAutospacing="0" w:line="600" w:lineRule="exact"/>
        <w:ind w:firstLine="643" w:firstLineChars="200"/>
        <w:jc w:val="both"/>
        <w:textAlignment w:val="auto"/>
        <w:rPr>
          <w:rFonts w:hint="default" w:ascii="Times New Roman" w:hAnsi="Times New Roman" w:eastAsia="楷体_GB2312" w:cs="Times New Roman"/>
          <w:b w:val="0"/>
          <w:bCs w:val="0"/>
          <w:i w:val="0"/>
          <w:iCs w:val="0"/>
          <w:caps w:val="0"/>
          <w:color w:val="000000"/>
          <w:spacing w:val="0"/>
          <w:kern w:val="0"/>
          <w:sz w:val="32"/>
          <w:szCs w:val="32"/>
          <w:highlight w:val="none"/>
          <w:shd w:val="clear" w:color="0C0000" w:fill="FFFFFF"/>
          <w:lang w:val="en-US" w:eastAsia="zh-CN"/>
        </w:rPr>
      </w:pPr>
      <w:r>
        <w:rPr>
          <w:rStyle w:val="8"/>
          <w:rFonts w:hint="default" w:ascii="Times New Roman" w:hAnsi="Times New Roman" w:eastAsia="楷体_GB2312" w:cs="Times New Roman"/>
          <w:b/>
          <w:bCs/>
          <w:i w:val="0"/>
          <w:iCs w:val="0"/>
          <w:caps w:val="0"/>
          <w:color w:val="000000"/>
          <w:spacing w:val="0"/>
          <w:kern w:val="0"/>
          <w:sz w:val="32"/>
          <w:szCs w:val="32"/>
          <w:highlight w:val="none"/>
          <w:shd w:val="clear" w:color="0D0000" w:fill="FFFFFF"/>
          <w:lang w:val="en-US" w:eastAsia="zh-CN"/>
        </w:rPr>
        <w:t>3、加大零售业企业防疫支出补贴</w:t>
      </w:r>
      <w:r>
        <w:rPr>
          <w:rFonts w:hint="default" w:ascii="Times New Roman" w:hAnsi="Times New Roman" w:eastAsia="仿宋_GB2312" w:cs="Times New Roman"/>
          <w:b w:val="0"/>
          <w:bCs w:val="0"/>
          <w:i w:val="0"/>
          <w:iCs w:val="0"/>
          <w:caps w:val="0"/>
          <w:color w:val="000000"/>
          <w:spacing w:val="0"/>
          <w:kern w:val="0"/>
          <w:sz w:val="32"/>
          <w:szCs w:val="32"/>
          <w:highlight w:val="none"/>
          <w:shd w:val="clear" w:color="0C0000" w:fill="FFFFFF"/>
          <w:lang w:val="en-US" w:eastAsia="zh-CN"/>
        </w:rPr>
        <w:t>。对单个经营场地达到5000平以上，或连锁经营企业总经营场地达到2万平以上的限额以上零售业企业购买防疫物资严守防疫防线的，凭</w:t>
      </w:r>
      <w:r>
        <w:rPr>
          <w:rFonts w:hint="default" w:ascii="Times New Roman" w:hAnsi="Times New Roman" w:eastAsia="仿宋_GB2312" w:cs="Times New Roman"/>
          <w:b w:val="0"/>
          <w:bCs w:val="0"/>
          <w:i w:val="0"/>
          <w:iCs w:val="0"/>
          <w:caps w:val="0"/>
          <w:color w:val="000000"/>
          <w:spacing w:val="0"/>
          <w:sz w:val="32"/>
          <w:szCs w:val="32"/>
          <w:highlight w:val="none"/>
          <w:shd w:val="clear" w:color="0B0000" w:fill="FFFFFF"/>
          <w:lang w:val="en-US" w:eastAsia="zh-CN"/>
        </w:rPr>
        <w:t>《郑州市民生保供企业资质证明》，当季</w:t>
      </w:r>
      <w:r>
        <w:rPr>
          <w:rFonts w:hint="default" w:ascii="Times New Roman" w:hAnsi="Times New Roman" w:eastAsia="仿宋_GB2312" w:cs="Times New Roman"/>
          <w:b w:val="0"/>
          <w:bCs w:val="0"/>
          <w:i w:val="0"/>
          <w:iCs w:val="0"/>
          <w:caps w:val="0"/>
          <w:color w:val="000000"/>
          <w:spacing w:val="0"/>
          <w:kern w:val="0"/>
          <w:sz w:val="32"/>
          <w:szCs w:val="32"/>
          <w:highlight w:val="none"/>
          <w:shd w:val="clear" w:color="0C0000" w:fill="FFFFFF"/>
          <w:lang w:val="en-US" w:eastAsia="zh-CN"/>
        </w:rPr>
        <w:t>给予一次性购买金额50%的补贴，单个企业年累计不超过30万元。</w:t>
      </w:r>
      <w:r>
        <w:rPr>
          <w:rFonts w:hint="default" w:ascii="Times New Roman" w:hAnsi="Times New Roman" w:eastAsia="楷体_GB2312" w:cs="Times New Roman"/>
          <w:b w:val="0"/>
          <w:bCs w:val="0"/>
          <w:i w:val="0"/>
          <w:iCs w:val="0"/>
          <w:caps w:val="0"/>
          <w:color w:val="000000"/>
          <w:spacing w:val="0"/>
          <w:kern w:val="0"/>
          <w:sz w:val="32"/>
          <w:szCs w:val="32"/>
          <w:highlight w:val="none"/>
          <w:shd w:val="clear" w:color="0C0000" w:fill="FFFFFF"/>
          <w:lang w:val="en-US" w:eastAsia="zh-CN"/>
        </w:rPr>
        <w:t>（责任单位：区商务局）</w:t>
      </w:r>
    </w:p>
    <w:p>
      <w:pPr>
        <w:pStyle w:val="3"/>
        <w:wordWrap/>
        <w:adjustRightInd/>
        <w:snapToGrid/>
        <w:spacing w:beforeAutospacing="0" w:afterAutospacing="0" w:line="600" w:lineRule="exact"/>
        <w:ind w:firstLine="643" w:firstLineChars="200"/>
        <w:jc w:val="both"/>
        <w:textAlignment w:val="auto"/>
        <w:rPr>
          <w:rFonts w:hint="default" w:ascii="Times New Roman" w:hAnsi="Times New Roman" w:eastAsia="仿宋_GB2312" w:cs="Times New Roman"/>
          <w:b w:val="0"/>
          <w:bCs w:val="0"/>
          <w:i w:val="0"/>
          <w:iCs w:val="0"/>
          <w:caps w:val="0"/>
          <w:color w:val="000000"/>
          <w:spacing w:val="0"/>
          <w:sz w:val="32"/>
          <w:szCs w:val="32"/>
          <w:highlight w:val="none"/>
          <w:shd w:val="clear" w:color="0B0000" w:fill="FFFFFF"/>
          <w:lang w:val="en-US" w:eastAsia="zh-CN"/>
        </w:rPr>
      </w:pPr>
      <w:r>
        <w:rPr>
          <w:rStyle w:val="8"/>
          <w:rFonts w:hint="default" w:ascii="Times New Roman" w:hAnsi="Times New Roman" w:eastAsia="楷体_GB2312" w:cs="Times New Roman"/>
          <w:b/>
          <w:bCs/>
          <w:i w:val="0"/>
          <w:iCs w:val="0"/>
          <w:caps w:val="0"/>
          <w:color w:val="000000"/>
          <w:spacing w:val="0"/>
          <w:kern w:val="0"/>
          <w:sz w:val="32"/>
          <w:szCs w:val="32"/>
          <w:highlight w:val="none"/>
          <w:shd w:val="clear" w:color="0D0000" w:fill="FFFFFF"/>
          <w:lang w:val="en-US" w:eastAsia="zh-CN"/>
        </w:rPr>
        <w:t>4、支持交通物流业加大防疫保障。</w:t>
      </w:r>
      <w:r>
        <w:rPr>
          <w:rFonts w:hint="default" w:ascii="Times New Roman" w:hAnsi="Times New Roman" w:eastAsia="仿宋_GB2312" w:cs="Times New Roman"/>
          <w:b w:val="0"/>
          <w:bCs w:val="0"/>
          <w:i w:val="0"/>
          <w:iCs w:val="0"/>
          <w:caps w:val="0"/>
          <w:color w:val="000000"/>
          <w:spacing w:val="0"/>
          <w:sz w:val="32"/>
          <w:szCs w:val="32"/>
          <w:highlight w:val="none"/>
          <w:shd w:val="clear" w:color="0B0000" w:fill="FFFFFF"/>
          <w:lang w:val="en-US" w:eastAsia="zh-CN"/>
        </w:rPr>
        <w:t>对购买防疫物资用于防疫保障的交通物流业企业，凭《郑州市民生保供企业资质证明》，当季给予一次性购买金额50%补贴，单个企业年累计不超过5万元。（</w:t>
      </w:r>
      <w:r>
        <w:rPr>
          <w:rFonts w:hint="default" w:ascii="Times New Roman" w:hAnsi="Times New Roman" w:eastAsia="楷体_GB2312" w:cs="Times New Roman"/>
          <w:b w:val="0"/>
          <w:bCs w:val="0"/>
          <w:i w:val="0"/>
          <w:iCs w:val="0"/>
          <w:caps w:val="0"/>
          <w:color w:val="000000"/>
          <w:spacing w:val="0"/>
          <w:kern w:val="0"/>
          <w:sz w:val="32"/>
          <w:szCs w:val="32"/>
          <w:highlight w:val="none"/>
          <w:shd w:val="clear" w:color="0C0000" w:fill="FFFFFF"/>
          <w:lang w:val="en-US" w:eastAsia="zh-CN"/>
        </w:rPr>
        <w:t>责任单位：区交通局）</w:t>
      </w:r>
    </w:p>
    <w:p>
      <w:pPr>
        <w:pStyle w:val="3"/>
        <w:wordWrap/>
        <w:adjustRightInd/>
        <w:snapToGrid/>
        <w:spacing w:beforeAutospacing="0" w:afterAutospacing="0" w:line="600" w:lineRule="exact"/>
        <w:ind w:firstLine="643" w:firstLineChars="200"/>
        <w:jc w:val="both"/>
        <w:textAlignment w:val="auto"/>
        <w:rPr>
          <w:rFonts w:hint="default" w:ascii="Times New Roman" w:hAnsi="Times New Roman" w:eastAsia="楷体_GB2312" w:cs="Times New Roman"/>
          <w:b w:val="0"/>
          <w:bCs w:val="0"/>
          <w:i w:val="0"/>
          <w:iCs w:val="0"/>
          <w:caps w:val="0"/>
          <w:color w:val="000000"/>
          <w:spacing w:val="0"/>
          <w:kern w:val="0"/>
          <w:sz w:val="32"/>
          <w:szCs w:val="32"/>
          <w:highlight w:val="none"/>
          <w:shd w:val="clear" w:color="0C0000" w:fill="FFFFFF"/>
          <w:lang w:val="en-US" w:eastAsia="zh-CN"/>
        </w:rPr>
      </w:pPr>
      <w:r>
        <w:rPr>
          <w:rFonts w:hint="default" w:ascii="Times New Roman" w:hAnsi="Times New Roman" w:eastAsia="楷体_GB2312" w:cs="Times New Roman"/>
          <w:b/>
          <w:bCs/>
          <w:color w:val="000000"/>
          <w:kern w:val="2"/>
          <w:sz w:val="32"/>
          <w:szCs w:val="32"/>
          <w:highlight w:val="none"/>
          <w:lang w:val="en-US" w:eastAsia="zh-CN" w:bidi="ar-SA"/>
        </w:rPr>
        <w:t>5、给予在建项目防疫补贴。</w:t>
      </w:r>
      <w:r>
        <w:rPr>
          <w:rFonts w:hint="default" w:ascii="Times New Roman" w:hAnsi="Times New Roman" w:eastAsia="仿宋_GB2312" w:cs="Times New Roman"/>
          <w:b w:val="0"/>
          <w:bCs w:val="0"/>
          <w:i w:val="0"/>
          <w:iCs w:val="0"/>
          <w:caps w:val="0"/>
          <w:color w:val="000000"/>
          <w:spacing w:val="0"/>
          <w:sz w:val="32"/>
          <w:szCs w:val="32"/>
          <w:highlight w:val="none"/>
          <w:shd w:val="clear" w:color="0B0000" w:fill="FFFFFF"/>
          <w:lang w:val="en-US" w:eastAsia="zh-CN"/>
        </w:rPr>
        <w:t>对疫情防控期间闭环管理不停工的重点在建项目（工地）购买防疫物资</w:t>
      </w:r>
      <w:r>
        <w:rPr>
          <w:rFonts w:hint="default" w:ascii="Times New Roman" w:hAnsi="Times New Roman" w:eastAsia="仿宋_GB2312" w:cs="Times New Roman"/>
          <w:b w:val="0"/>
          <w:bCs w:val="0"/>
          <w:i w:val="0"/>
          <w:iCs w:val="0"/>
          <w:caps w:val="0"/>
          <w:color w:val="000000"/>
          <w:spacing w:val="0"/>
          <w:kern w:val="0"/>
          <w:sz w:val="32"/>
          <w:szCs w:val="32"/>
          <w:highlight w:val="none"/>
          <w:shd w:val="clear" w:color="0C0000" w:fill="FFFFFF"/>
          <w:lang w:val="en-US" w:eastAsia="zh-CN"/>
        </w:rPr>
        <w:t>严守防疫防线</w:t>
      </w:r>
      <w:r>
        <w:rPr>
          <w:rFonts w:hint="default" w:ascii="Times New Roman" w:hAnsi="Times New Roman" w:eastAsia="仿宋_GB2312" w:cs="Times New Roman"/>
          <w:b w:val="0"/>
          <w:bCs w:val="0"/>
          <w:i w:val="0"/>
          <w:iCs w:val="0"/>
          <w:caps w:val="0"/>
          <w:color w:val="000000"/>
          <w:spacing w:val="0"/>
          <w:sz w:val="32"/>
          <w:szCs w:val="32"/>
          <w:highlight w:val="none"/>
          <w:shd w:val="clear" w:color="0B0000" w:fill="FFFFFF"/>
          <w:lang w:val="en-US" w:eastAsia="zh-CN"/>
        </w:rPr>
        <w:t>的，当季给予一次性购买金额50%补贴，单个项目年累计最高不超过5万元。（</w:t>
      </w:r>
      <w:r>
        <w:rPr>
          <w:rFonts w:hint="default" w:ascii="Times New Roman" w:hAnsi="Times New Roman" w:eastAsia="楷体_GB2312" w:cs="Times New Roman"/>
          <w:b w:val="0"/>
          <w:bCs w:val="0"/>
          <w:i w:val="0"/>
          <w:iCs w:val="0"/>
          <w:caps w:val="0"/>
          <w:color w:val="000000"/>
          <w:spacing w:val="0"/>
          <w:kern w:val="0"/>
          <w:sz w:val="32"/>
          <w:szCs w:val="32"/>
          <w:highlight w:val="none"/>
          <w:shd w:val="clear" w:color="0C0000" w:fill="FFFFFF"/>
          <w:lang w:val="en-US" w:eastAsia="zh-CN"/>
        </w:rPr>
        <w:t>责任单位：区重点项目服务中心）</w:t>
      </w:r>
    </w:p>
    <w:p>
      <w:pPr>
        <w:pStyle w:val="3"/>
        <w:wordWrap/>
        <w:adjustRightInd/>
        <w:snapToGrid/>
        <w:spacing w:beforeAutospacing="0" w:afterAutospacing="0" w:line="600" w:lineRule="exact"/>
        <w:ind w:firstLine="643" w:firstLineChars="200"/>
        <w:jc w:val="both"/>
        <w:textAlignment w:val="auto"/>
        <w:rPr>
          <w:rFonts w:hint="default" w:ascii="Times New Roman" w:hAnsi="Times New Roman" w:eastAsia="楷体_GB2312" w:cs="Times New Roman"/>
          <w:b w:val="0"/>
          <w:bCs w:val="0"/>
          <w:i w:val="0"/>
          <w:iCs w:val="0"/>
          <w:caps w:val="0"/>
          <w:color w:val="000000"/>
          <w:spacing w:val="0"/>
          <w:kern w:val="0"/>
          <w:sz w:val="32"/>
          <w:szCs w:val="32"/>
          <w:highlight w:val="none"/>
          <w:shd w:val="clear" w:color="0C0000" w:fill="FFFFFF"/>
          <w:lang w:val="en-US" w:eastAsia="zh-CN"/>
        </w:rPr>
      </w:pPr>
      <w:r>
        <w:rPr>
          <w:rFonts w:hint="default" w:ascii="Times New Roman" w:hAnsi="Times New Roman" w:eastAsia="楷体_GB2312" w:cs="Times New Roman"/>
          <w:b/>
          <w:bCs/>
          <w:color w:val="000000"/>
          <w:kern w:val="2"/>
          <w:sz w:val="32"/>
          <w:szCs w:val="32"/>
          <w:highlight w:val="none"/>
          <w:lang w:val="en-US" w:eastAsia="zh-CN" w:bidi="ar-SA"/>
        </w:rPr>
        <w:t>6、鼓励扩大防疫保险服务覆盖面</w:t>
      </w:r>
      <w:r>
        <w:rPr>
          <w:rFonts w:hint="default" w:ascii="Times New Roman" w:hAnsi="Times New Roman" w:eastAsia="楷体_GB2312" w:cs="Times New Roman"/>
          <w:b/>
          <w:bCs/>
          <w:i w:val="0"/>
          <w:iCs w:val="0"/>
          <w:caps w:val="0"/>
          <w:color w:val="000000"/>
          <w:spacing w:val="0"/>
          <w:kern w:val="0"/>
          <w:sz w:val="32"/>
          <w:szCs w:val="32"/>
          <w:highlight w:val="none"/>
          <w:shd w:val="clear" w:color="0C0000" w:fill="FFFFFF"/>
          <w:lang w:val="en-US" w:eastAsia="zh-CN"/>
        </w:rPr>
        <w:t>。</w:t>
      </w:r>
      <w:r>
        <w:rPr>
          <w:rFonts w:hint="default" w:ascii="Times New Roman" w:hAnsi="Times New Roman" w:eastAsia="仿宋_GB2312" w:cs="Times New Roman"/>
          <w:b w:val="0"/>
          <w:bCs w:val="0"/>
          <w:color w:val="000000"/>
          <w:kern w:val="2"/>
          <w:sz w:val="32"/>
          <w:szCs w:val="32"/>
          <w:highlight w:val="none"/>
          <w:lang w:val="en-US" w:eastAsia="zh-CN" w:bidi="ar-SA"/>
        </w:rPr>
        <w:t>鼓励保险机构扩大服务范围，丰富市场主体抗疫保险产品供给，扩展新冠肺炎保险保障责任，扩大企业因疫情导致营业中断等风险保障的覆盖面；</w:t>
      </w:r>
      <w:r>
        <w:rPr>
          <w:rFonts w:hint="default" w:ascii="Times New Roman" w:hAnsi="Times New Roman" w:eastAsia="仿宋_GB2312" w:cs="Times New Roman"/>
          <w:b w:val="0"/>
          <w:bCs w:val="0"/>
          <w:i w:val="0"/>
          <w:iCs w:val="0"/>
          <w:caps w:val="0"/>
          <w:color w:val="000000"/>
          <w:spacing w:val="0"/>
          <w:kern w:val="0"/>
          <w:sz w:val="32"/>
          <w:szCs w:val="32"/>
          <w:highlight w:val="none"/>
          <w:shd w:val="clear" w:color="0C0000" w:fill="FFFFFF"/>
          <w:lang w:val="en-US" w:eastAsia="zh-CN"/>
        </w:rPr>
        <w:t>加强抗疫保险保障服务，建立保险理赔绿色通道，提高理赔效率。</w:t>
      </w:r>
      <w:r>
        <w:rPr>
          <w:rFonts w:hint="default" w:ascii="Times New Roman" w:hAnsi="Times New Roman" w:eastAsia="仿宋_GB2312" w:cs="Times New Roman"/>
          <w:b w:val="0"/>
          <w:bCs w:val="0"/>
          <w:i w:val="0"/>
          <w:iCs w:val="0"/>
          <w:caps w:val="0"/>
          <w:color w:val="000000"/>
          <w:spacing w:val="0"/>
          <w:sz w:val="32"/>
          <w:szCs w:val="32"/>
          <w:highlight w:val="none"/>
          <w:shd w:val="clear" w:color="0B0000" w:fill="FFFFFF"/>
          <w:lang w:val="en-US" w:eastAsia="zh-CN"/>
        </w:rPr>
        <w:t>（</w:t>
      </w:r>
      <w:r>
        <w:rPr>
          <w:rFonts w:hint="default" w:ascii="Times New Roman" w:hAnsi="Times New Roman" w:eastAsia="楷体_GB2312" w:cs="Times New Roman"/>
          <w:b w:val="0"/>
          <w:bCs w:val="0"/>
          <w:i w:val="0"/>
          <w:iCs w:val="0"/>
          <w:caps w:val="0"/>
          <w:color w:val="000000"/>
          <w:spacing w:val="0"/>
          <w:kern w:val="0"/>
          <w:sz w:val="32"/>
          <w:szCs w:val="32"/>
          <w:highlight w:val="none"/>
          <w:shd w:val="clear" w:color="0C0000" w:fill="FFFFFF"/>
          <w:lang w:val="en-US" w:eastAsia="zh-CN"/>
        </w:rPr>
        <w:t>责任单位：区金融工作服务中心）</w:t>
      </w:r>
    </w:p>
    <w:p>
      <w:pPr>
        <w:pStyle w:val="6"/>
        <w:widowControl/>
        <w:numPr>
          <w:numId w:val="0"/>
        </w:numPr>
        <w:pBdr>
          <w:top w:val="none" w:color="auto" w:sz="0" w:space="0"/>
          <w:left w:val="none" w:color="auto" w:sz="0" w:space="0"/>
          <w:bottom w:val="none" w:color="auto" w:sz="0" w:space="0"/>
          <w:right w:val="none" w:color="auto" w:sz="0" w:space="0"/>
        </w:pBdr>
        <w:wordWrap/>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黑体" w:cs="Times New Roman"/>
          <w:b w:val="0"/>
          <w:bCs w:val="0"/>
          <w:i w:val="0"/>
          <w:iCs w:val="0"/>
          <w:caps w:val="0"/>
          <w:color w:val="000000"/>
          <w:spacing w:val="0"/>
          <w:sz w:val="32"/>
          <w:szCs w:val="32"/>
          <w:highlight w:val="none"/>
          <w:shd w:val="clear" w:color="0B0000" w:fill="FFFFFF"/>
          <w:lang w:val="en-US" w:eastAsia="zh-CN"/>
        </w:rPr>
      </w:pPr>
      <w:r>
        <w:rPr>
          <w:rFonts w:hint="default" w:ascii="Times New Roman" w:hAnsi="Times New Roman" w:eastAsia="黑体" w:cs="Times New Roman"/>
          <w:b w:val="0"/>
          <w:bCs w:val="0"/>
          <w:i w:val="0"/>
          <w:iCs w:val="0"/>
          <w:caps w:val="0"/>
          <w:color w:val="000000"/>
          <w:spacing w:val="0"/>
          <w:sz w:val="32"/>
          <w:szCs w:val="32"/>
          <w:highlight w:val="none"/>
          <w:shd w:val="clear" w:color="0B0000" w:fill="FFFFFF"/>
          <w:lang w:val="en-US" w:eastAsia="zh-CN"/>
        </w:rPr>
        <w:t>二、持续激发市场活力</w:t>
      </w:r>
    </w:p>
    <w:p>
      <w:pPr>
        <w:pStyle w:val="3"/>
        <w:wordWrap/>
        <w:adjustRightInd/>
        <w:snapToGrid/>
        <w:spacing w:beforeAutospacing="0" w:afterAutospacing="0" w:line="600" w:lineRule="exact"/>
        <w:ind w:firstLine="643" w:firstLineChars="200"/>
        <w:jc w:val="both"/>
        <w:textAlignment w:val="auto"/>
        <w:rPr>
          <w:rFonts w:hint="default" w:ascii="Times New Roman" w:hAnsi="Times New Roman" w:eastAsia="仿宋_GB2312" w:cs="Times New Roman"/>
          <w:i w:val="0"/>
          <w:iCs w:val="0"/>
          <w:caps w:val="0"/>
          <w:color w:val="000000"/>
          <w:spacing w:val="0"/>
          <w:sz w:val="32"/>
          <w:szCs w:val="32"/>
          <w:highlight w:val="none"/>
          <w:shd w:val="clear" w:color="090000" w:fill="FFFFFF"/>
          <w:lang w:val="en-US" w:eastAsia="zh-CN"/>
        </w:rPr>
      </w:pPr>
      <w:r>
        <w:rPr>
          <w:rFonts w:hint="default" w:ascii="Times New Roman" w:hAnsi="Times New Roman" w:eastAsia="楷体_GB2312" w:cs="Times New Roman"/>
          <w:b/>
          <w:bCs/>
          <w:i w:val="0"/>
          <w:iCs w:val="0"/>
          <w:caps w:val="0"/>
          <w:color w:val="000000"/>
          <w:spacing w:val="0"/>
          <w:sz w:val="32"/>
          <w:szCs w:val="32"/>
          <w:highlight w:val="none"/>
          <w:shd w:val="clear" w:color="0B0000" w:fill="FFFFFF"/>
          <w:lang w:val="en-US" w:eastAsia="zh-CN"/>
        </w:rPr>
        <w:t>7、强化“个转企”政策扶持。</w:t>
      </w:r>
      <w:r>
        <w:rPr>
          <w:rFonts w:hint="default" w:ascii="Times New Roman" w:hAnsi="Times New Roman" w:eastAsia="仿宋_GB2312" w:cs="Times New Roman"/>
          <w:b w:val="0"/>
          <w:bCs w:val="0"/>
          <w:color w:val="000000"/>
          <w:kern w:val="2"/>
          <w:sz w:val="32"/>
          <w:szCs w:val="32"/>
          <w:highlight w:val="none"/>
          <w:lang w:val="en-US" w:eastAsia="zh-CN" w:bidi="ar-SA"/>
        </w:rPr>
        <w:t>建立“个转企”重点培育库，结合企业特点和市场主体实际情况分类指导、精准帮扶、有序推进。开通“个转企”登记绿色通道，降低准入门槛，推行企业住所（经营场所）申报承诺制度，开展证照联办、并联审批，实现企业开办“一日办结”。首次“个转企”企业凭《个体工商户转型升级为企业证明》，到所在街道办申领填报“法人单位基本情况表”，依法依规填报后给予一次性3000元奖励。</w:t>
      </w:r>
      <w:r>
        <w:rPr>
          <w:rFonts w:hint="default" w:ascii="Times New Roman" w:hAnsi="Times New Roman" w:eastAsia="仿宋_GB2312" w:cs="Times New Roman"/>
          <w:b w:val="0"/>
          <w:bCs w:val="0"/>
          <w:i w:val="0"/>
          <w:iCs w:val="0"/>
          <w:caps w:val="0"/>
          <w:color w:val="000000"/>
          <w:spacing w:val="0"/>
          <w:sz w:val="32"/>
          <w:szCs w:val="32"/>
          <w:highlight w:val="none"/>
          <w:shd w:val="clear" w:color="0B0000" w:fill="FFFFFF"/>
          <w:lang w:val="en-US" w:eastAsia="zh-CN"/>
        </w:rPr>
        <w:t>（</w:t>
      </w:r>
      <w:r>
        <w:rPr>
          <w:rFonts w:hint="default" w:ascii="Times New Roman" w:hAnsi="Times New Roman" w:eastAsia="楷体_GB2312" w:cs="Times New Roman"/>
          <w:b w:val="0"/>
          <w:bCs w:val="0"/>
          <w:i w:val="0"/>
          <w:iCs w:val="0"/>
          <w:caps w:val="0"/>
          <w:color w:val="000000"/>
          <w:spacing w:val="0"/>
          <w:kern w:val="0"/>
          <w:sz w:val="32"/>
          <w:szCs w:val="32"/>
          <w:highlight w:val="none"/>
          <w:shd w:val="clear" w:color="0C0000" w:fill="FFFFFF"/>
          <w:lang w:val="en-US" w:eastAsia="zh-CN"/>
        </w:rPr>
        <w:t>责任单位：区市场监管局）</w:t>
      </w:r>
    </w:p>
    <w:p>
      <w:pPr>
        <w:pStyle w:val="3"/>
        <w:wordWrap/>
        <w:adjustRightInd/>
        <w:snapToGrid/>
        <w:spacing w:beforeAutospacing="0" w:afterAutospacing="0" w:line="600" w:lineRule="exact"/>
        <w:ind w:firstLine="643" w:firstLineChars="200"/>
        <w:jc w:val="both"/>
        <w:textAlignment w:val="auto"/>
        <w:rPr>
          <w:rFonts w:hint="default" w:ascii="Times New Roman" w:hAnsi="Times New Roman" w:eastAsia="楷体_GB2312" w:cs="Times New Roman"/>
          <w:b w:val="0"/>
          <w:bCs w:val="0"/>
          <w:i w:val="0"/>
          <w:iCs w:val="0"/>
          <w:caps w:val="0"/>
          <w:color w:val="000000"/>
          <w:spacing w:val="0"/>
          <w:kern w:val="0"/>
          <w:sz w:val="32"/>
          <w:szCs w:val="32"/>
          <w:highlight w:val="none"/>
          <w:shd w:val="clear" w:color="0C0000" w:fill="FFFFFF"/>
          <w:lang w:val="en-US" w:eastAsia="zh-CN"/>
        </w:rPr>
      </w:pPr>
      <w:r>
        <w:rPr>
          <w:rFonts w:hint="default" w:ascii="Times New Roman" w:hAnsi="Times New Roman" w:eastAsia="楷体_GB2312" w:cs="Times New Roman"/>
          <w:b/>
          <w:bCs/>
          <w:i w:val="0"/>
          <w:iCs w:val="0"/>
          <w:caps w:val="0"/>
          <w:color w:val="000000"/>
          <w:spacing w:val="0"/>
          <w:sz w:val="32"/>
          <w:szCs w:val="32"/>
          <w:highlight w:val="none"/>
          <w:shd w:val="clear" w:color="0B0000" w:fill="FFFFFF"/>
          <w:lang w:val="en-US" w:eastAsia="zh-CN"/>
        </w:rPr>
        <w:t>8、加大“小升规”奖励制度。</w:t>
      </w:r>
      <w:r>
        <w:rPr>
          <w:rFonts w:hint="default" w:ascii="Times New Roman" w:hAnsi="Times New Roman" w:eastAsia="仿宋_GB2312" w:cs="Times New Roman"/>
          <w:b w:val="0"/>
          <w:bCs w:val="0"/>
          <w:color w:val="000000"/>
          <w:kern w:val="2"/>
          <w:sz w:val="32"/>
          <w:szCs w:val="32"/>
          <w:highlight w:val="none"/>
          <w:lang w:val="en-US" w:eastAsia="zh-CN" w:bidi="ar-SA"/>
        </w:rPr>
        <w:t>建立“小升规”企业培育库，实施“一对一”精准对接服务，提供统计入库知识等方面辅导。在郑州市“小升规”奖励政策的基础上，加大区级配套支持。对首次入“四上”库的工业企业、资质等级建筑和房地产开发经营企业、限额以上批零住餐业企业、规模以上服务业企业给予一次性3万元奖励。对依法依规及时上报统计数据信息且在库一年以上的“四上”报表企业，每年给予统计工作人员2000元工作补助。</w:t>
      </w:r>
      <w:r>
        <w:rPr>
          <w:rFonts w:hint="default" w:ascii="Times New Roman" w:hAnsi="Times New Roman" w:eastAsia="仿宋_GB2312" w:cs="Times New Roman"/>
          <w:b w:val="0"/>
          <w:bCs w:val="0"/>
          <w:i w:val="0"/>
          <w:iCs w:val="0"/>
          <w:caps w:val="0"/>
          <w:color w:val="000000"/>
          <w:spacing w:val="0"/>
          <w:sz w:val="32"/>
          <w:szCs w:val="32"/>
          <w:highlight w:val="none"/>
          <w:shd w:val="clear" w:color="0B0000" w:fill="FFFFFF"/>
          <w:lang w:val="en-US" w:eastAsia="zh-CN"/>
        </w:rPr>
        <w:t>（</w:t>
      </w:r>
      <w:r>
        <w:rPr>
          <w:rFonts w:hint="default" w:ascii="Times New Roman" w:hAnsi="Times New Roman" w:eastAsia="楷体_GB2312" w:cs="Times New Roman"/>
          <w:b w:val="0"/>
          <w:bCs w:val="0"/>
          <w:i w:val="0"/>
          <w:iCs w:val="0"/>
          <w:caps w:val="0"/>
          <w:color w:val="000000"/>
          <w:spacing w:val="0"/>
          <w:kern w:val="0"/>
          <w:sz w:val="32"/>
          <w:szCs w:val="32"/>
          <w:highlight w:val="none"/>
          <w:shd w:val="clear" w:color="0C0000" w:fill="FFFFFF"/>
          <w:lang w:val="en-US" w:eastAsia="zh-CN"/>
        </w:rPr>
        <w:t>责任单位：区统计局）</w:t>
      </w:r>
    </w:p>
    <w:p>
      <w:pPr>
        <w:wordWrap/>
        <w:adjustRightInd/>
        <w:snapToGrid/>
        <w:spacing w:line="600" w:lineRule="exact"/>
        <w:ind w:firstLine="643" w:firstLineChars="200"/>
        <w:textAlignment w:val="auto"/>
        <w:rPr>
          <w:rFonts w:hint="default" w:ascii="Times New Roman" w:hAnsi="Times New Roman" w:eastAsia="仿宋_GB2312" w:cs="Times New Roman"/>
          <w:i w:val="0"/>
          <w:iCs w:val="0"/>
          <w:caps w:val="0"/>
          <w:color w:val="000000"/>
          <w:spacing w:val="0"/>
          <w:sz w:val="32"/>
          <w:szCs w:val="32"/>
          <w:highlight w:val="none"/>
          <w:shd w:val="clear" w:color="090000" w:fill="FFFFFF"/>
          <w:lang w:val="en-US" w:eastAsia="zh-CN"/>
        </w:rPr>
      </w:pPr>
      <w:r>
        <w:rPr>
          <w:rFonts w:hint="default" w:ascii="Times New Roman" w:hAnsi="Times New Roman" w:eastAsia="仿宋_GB2312" w:cs="Times New Roman"/>
          <w:b/>
          <w:bCs/>
          <w:i w:val="0"/>
          <w:iCs w:val="0"/>
          <w:caps w:val="0"/>
          <w:color w:val="000000"/>
          <w:spacing w:val="0"/>
          <w:sz w:val="32"/>
          <w:szCs w:val="32"/>
          <w:highlight w:val="none"/>
          <w:shd w:val="clear" w:color="0B0000" w:fill="FFFFFF"/>
          <w:lang w:val="en-US" w:eastAsia="zh-CN"/>
        </w:rPr>
        <w:t>9、</w:t>
      </w:r>
      <w:r>
        <w:rPr>
          <w:rFonts w:hint="default" w:ascii="Times New Roman" w:hAnsi="Times New Roman" w:eastAsia="楷体_GB2312" w:cs="Times New Roman"/>
          <w:b/>
          <w:bCs/>
          <w:i w:val="0"/>
          <w:iCs w:val="0"/>
          <w:caps w:val="0"/>
          <w:color w:val="000000"/>
          <w:spacing w:val="0"/>
          <w:sz w:val="32"/>
          <w:szCs w:val="32"/>
          <w:highlight w:val="none"/>
          <w:shd w:val="clear" w:color="0B0000" w:fill="FFFFFF"/>
          <w:lang w:val="en-US" w:eastAsia="zh-CN"/>
        </w:rPr>
        <w:t>支持“优质企业”落户。</w:t>
      </w:r>
      <w:r>
        <w:rPr>
          <w:rFonts w:hint="default" w:ascii="Times New Roman" w:hAnsi="Times New Roman" w:eastAsia="仿宋_GB2312" w:cs="Times New Roman"/>
          <w:i w:val="0"/>
          <w:iCs w:val="0"/>
          <w:caps w:val="0"/>
          <w:color w:val="000000"/>
          <w:spacing w:val="0"/>
          <w:sz w:val="32"/>
          <w:szCs w:val="32"/>
          <w:highlight w:val="none"/>
          <w:shd w:val="clear" w:color="090000" w:fill="FFFFFF"/>
          <w:lang w:val="en-US" w:eastAsia="zh-CN"/>
        </w:rPr>
        <w:t>支持区外“四上”企业迁入金水，在我区完成注册登记后，一次性奖励10万元；支持“行业龙头企业”、“独角兽企业”等重点企业在金水设立符合产业发展方向的子公司或合资公司，在我区完成登记注册后，一次性奖励15万元。企业落户后截至2022年末新增区级经济发展贡献达到200万元以上（含）、500万元以下的企业，按其区级经济发展贡献的20%给予一次性奖励；对区级经济贡献超过500万元</w:t>
      </w:r>
      <w:r>
        <w:rPr>
          <w:rFonts w:hint="eastAsia" w:ascii="Times New Roman" w:hAnsi="Times New Roman" w:eastAsia="仿宋_GB2312" w:cs="Times New Roman"/>
          <w:i w:val="0"/>
          <w:iCs w:val="0"/>
          <w:caps w:val="0"/>
          <w:color w:val="000000"/>
          <w:spacing w:val="0"/>
          <w:sz w:val="32"/>
          <w:szCs w:val="32"/>
          <w:highlight w:val="none"/>
          <w:shd w:val="clear" w:color="090000" w:fill="FFFFFF"/>
          <w:lang w:val="en-US" w:eastAsia="zh-CN"/>
        </w:rPr>
        <w:t>及</w:t>
      </w:r>
      <w:r>
        <w:rPr>
          <w:rFonts w:hint="default" w:ascii="Times New Roman" w:hAnsi="Times New Roman" w:eastAsia="仿宋_GB2312" w:cs="Times New Roman"/>
          <w:i w:val="0"/>
          <w:iCs w:val="0"/>
          <w:caps w:val="0"/>
          <w:color w:val="000000"/>
          <w:spacing w:val="0"/>
          <w:sz w:val="32"/>
          <w:szCs w:val="32"/>
          <w:highlight w:val="none"/>
          <w:shd w:val="clear" w:color="090000" w:fill="FFFFFF"/>
          <w:lang w:val="en-US" w:eastAsia="zh-CN"/>
        </w:rPr>
        <w:t>以上的企业，研究制定专项奖励扶持政策。</w:t>
      </w:r>
      <w:r>
        <w:rPr>
          <w:rFonts w:hint="default" w:ascii="Times New Roman" w:hAnsi="Times New Roman" w:eastAsia="仿宋_GB2312" w:cs="Times New Roman"/>
          <w:b w:val="0"/>
          <w:bCs w:val="0"/>
          <w:i w:val="0"/>
          <w:iCs w:val="0"/>
          <w:caps w:val="0"/>
          <w:color w:val="000000"/>
          <w:spacing w:val="0"/>
          <w:sz w:val="32"/>
          <w:szCs w:val="32"/>
          <w:highlight w:val="none"/>
          <w:shd w:val="clear" w:color="0B0000" w:fill="FFFFFF"/>
          <w:lang w:val="en-US" w:eastAsia="zh-CN"/>
        </w:rPr>
        <w:t>（</w:t>
      </w:r>
      <w:r>
        <w:rPr>
          <w:rFonts w:hint="default" w:ascii="Times New Roman" w:hAnsi="Times New Roman" w:eastAsia="楷体_GB2312" w:cs="Times New Roman"/>
          <w:b w:val="0"/>
          <w:bCs w:val="0"/>
          <w:i w:val="0"/>
          <w:iCs w:val="0"/>
          <w:caps w:val="0"/>
          <w:color w:val="000000"/>
          <w:spacing w:val="0"/>
          <w:kern w:val="0"/>
          <w:sz w:val="32"/>
          <w:szCs w:val="32"/>
          <w:highlight w:val="none"/>
          <w:shd w:val="clear" w:color="0C0000" w:fill="FFFFFF"/>
          <w:lang w:val="en-US" w:eastAsia="zh-CN"/>
        </w:rPr>
        <w:t>责任单位：区商务局）</w:t>
      </w:r>
    </w:p>
    <w:p>
      <w:pPr>
        <w:wordWrap/>
        <w:adjustRightInd/>
        <w:snapToGrid/>
        <w:spacing w:line="600" w:lineRule="exact"/>
        <w:ind w:firstLine="643" w:firstLineChars="200"/>
        <w:textAlignment w:val="auto"/>
        <w:rPr>
          <w:rFonts w:hint="default" w:ascii="Times New Roman" w:hAnsi="Times New Roman" w:eastAsia="仿宋_GB2312" w:cs="Times New Roman"/>
          <w:i w:val="0"/>
          <w:iCs w:val="0"/>
          <w:caps w:val="0"/>
          <w:color w:val="000000"/>
          <w:spacing w:val="0"/>
          <w:sz w:val="32"/>
          <w:szCs w:val="32"/>
          <w:highlight w:val="none"/>
          <w:shd w:val="clear" w:color="090000" w:fill="FFFFFF"/>
          <w:lang w:val="en-US" w:eastAsia="zh-CN"/>
        </w:rPr>
      </w:pPr>
      <w:r>
        <w:rPr>
          <w:rFonts w:hint="default" w:ascii="Times New Roman" w:hAnsi="Times New Roman" w:eastAsia="楷体_GB2312" w:cs="Times New Roman"/>
          <w:b/>
          <w:bCs/>
          <w:i w:val="0"/>
          <w:iCs w:val="0"/>
          <w:caps w:val="0"/>
          <w:color w:val="000000"/>
          <w:spacing w:val="0"/>
          <w:sz w:val="32"/>
          <w:szCs w:val="32"/>
          <w:highlight w:val="none"/>
          <w:shd w:val="clear" w:color="0B0000" w:fill="FFFFFF"/>
          <w:lang w:val="en-US" w:eastAsia="zh-CN"/>
        </w:rPr>
        <w:t>10、支持科技成果转移转化。</w:t>
      </w:r>
      <w:r>
        <w:rPr>
          <w:rFonts w:hint="default" w:ascii="Times New Roman" w:hAnsi="Times New Roman" w:eastAsia="仿宋_GB2312" w:cs="Times New Roman"/>
          <w:i w:val="0"/>
          <w:iCs w:val="0"/>
          <w:caps w:val="0"/>
          <w:color w:val="000000"/>
          <w:spacing w:val="0"/>
          <w:sz w:val="32"/>
          <w:szCs w:val="32"/>
          <w:highlight w:val="none"/>
          <w:shd w:val="clear" w:color="090000" w:fill="FFFFFF"/>
          <w:lang w:val="en-US" w:eastAsia="zh-CN"/>
        </w:rPr>
        <w:t>支持在金水区注册的高校、科研院所、新型研发机构、企业等主体开展科技成果转移转化。凡2022年当年签订的技术合同，经技术合同登记机构认定登记后，对其当年认定的技术合同技术交易额的实际到账额进行补助。单件技术合同技术交易额实际到账100万元（含）以上、500万元（含）以上、1000万元（含）以上的，当季分别给一次性3万元、5万元、10万元</w:t>
      </w:r>
      <w:r>
        <w:rPr>
          <w:rFonts w:hint="eastAsia" w:ascii="Times New Roman" w:hAnsi="Times New Roman" w:eastAsia="仿宋_GB2312" w:cs="Times New Roman"/>
          <w:i w:val="0"/>
          <w:iCs w:val="0"/>
          <w:caps w:val="0"/>
          <w:color w:val="000000"/>
          <w:spacing w:val="0"/>
          <w:sz w:val="32"/>
          <w:szCs w:val="32"/>
          <w:highlight w:val="none"/>
          <w:shd w:val="clear" w:color="090000" w:fill="FFFFFF"/>
          <w:lang w:val="en-US" w:eastAsia="zh-CN"/>
        </w:rPr>
        <w:t>补助。</w:t>
      </w:r>
      <w:r>
        <w:rPr>
          <w:rFonts w:hint="default" w:ascii="Times New Roman" w:hAnsi="Times New Roman" w:eastAsia="仿宋_GB2312" w:cs="Times New Roman"/>
          <w:i w:val="0"/>
          <w:iCs w:val="0"/>
          <w:caps w:val="0"/>
          <w:color w:val="000000"/>
          <w:spacing w:val="0"/>
          <w:sz w:val="32"/>
          <w:szCs w:val="32"/>
          <w:highlight w:val="none"/>
          <w:shd w:val="clear" w:color="090000" w:fill="FFFFFF"/>
          <w:lang w:val="en-US" w:eastAsia="zh-CN"/>
        </w:rPr>
        <w:t>同一单位</w:t>
      </w:r>
      <w:r>
        <w:rPr>
          <w:rFonts w:hint="eastAsia" w:ascii="Times New Roman" w:hAnsi="Times New Roman" w:eastAsia="仿宋_GB2312" w:cs="Times New Roman"/>
          <w:i w:val="0"/>
          <w:iCs w:val="0"/>
          <w:caps w:val="0"/>
          <w:color w:val="000000"/>
          <w:spacing w:val="0"/>
          <w:sz w:val="32"/>
          <w:szCs w:val="32"/>
          <w:highlight w:val="none"/>
          <w:shd w:val="clear" w:color="090000" w:fill="FFFFFF"/>
          <w:lang w:val="en-US" w:eastAsia="zh-CN"/>
        </w:rPr>
        <w:t>年累计</w:t>
      </w:r>
      <w:r>
        <w:rPr>
          <w:rFonts w:hint="default" w:ascii="Times New Roman" w:hAnsi="Times New Roman" w:eastAsia="仿宋_GB2312" w:cs="Times New Roman"/>
          <w:i w:val="0"/>
          <w:iCs w:val="0"/>
          <w:caps w:val="0"/>
          <w:color w:val="000000"/>
          <w:spacing w:val="0"/>
          <w:sz w:val="32"/>
          <w:szCs w:val="32"/>
          <w:highlight w:val="none"/>
          <w:shd w:val="clear" w:color="090000" w:fill="FFFFFF"/>
          <w:lang w:val="en-US" w:eastAsia="zh-CN"/>
        </w:rPr>
        <w:t>奖励</w:t>
      </w:r>
      <w:r>
        <w:rPr>
          <w:rFonts w:hint="eastAsia" w:ascii="Times New Roman" w:hAnsi="Times New Roman" w:eastAsia="仿宋_GB2312" w:cs="Times New Roman"/>
          <w:i w:val="0"/>
          <w:iCs w:val="0"/>
          <w:caps w:val="0"/>
          <w:color w:val="000000"/>
          <w:spacing w:val="0"/>
          <w:sz w:val="32"/>
          <w:szCs w:val="32"/>
          <w:highlight w:val="none"/>
          <w:shd w:val="clear" w:color="090000" w:fill="FFFFFF"/>
          <w:lang w:val="en-US" w:eastAsia="zh-CN"/>
        </w:rPr>
        <w:t>不超过</w:t>
      </w:r>
      <w:r>
        <w:rPr>
          <w:rFonts w:hint="default" w:ascii="Times New Roman" w:hAnsi="Times New Roman" w:eastAsia="仿宋_GB2312" w:cs="Times New Roman"/>
          <w:i w:val="0"/>
          <w:iCs w:val="0"/>
          <w:caps w:val="0"/>
          <w:color w:val="000000"/>
          <w:spacing w:val="0"/>
          <w:sz w:val="32"/>
          <w:szCs w:val="32"/>
          <w:highlight w:val="none"/>
          <w:shd w:val="clear" w:color="090000" w:fill="FFFFFF"/>
          <w:lang w:val="en-US" w:eastAsia="zh-CN"/>
        </w:rPr>
        <w:t>20万元。</w:t>
      </w:r>
      <w:r>
        <w:rPr>
          <w:rFonts w:hint="default" w:ascii="Times New Roman" w:hAnsi="Times New Roman" w:eastAsia="仿宋_GB2312" w:cs="Times New Roman"/>
          <w:b w:val="0"/>
          <w:bCs w:val="0"/>
          <w:i w:val="0"/>
          <w:iCs w:val="0"/>
          <w:caps w:val="0"/>
          <w:color w:val="000000"/>
          <w:spacing w:val="0"/>
          <w:sz w:val="32"/>
          <w:szCs w:val="32"/>
          <w:highlight w:val="none"/>
          <w:shd w:val="clear" w:color="0B0000" w:fill="FFFFFF"/>
          <w:lang w:val="en-US" w:eastAsia="zh-CN"/>
        </w:rPr>
        <w:t>（</w:t>
      </w:r>
      <w:r>
        <w:rPr>
          <w:rFonts w:hint="default" w:ascii="Times New Roman" w:hAnsi="Times New Roman" w:eastAsia="楷体_GB2312" w:cs="Times New Roman"/>
          <w:b w:val="0"/>
          <w:bCs w:val="0"/>
          <w:i w:val="0"/>
          <w:iCs w:val="0"/>
          <w:caps w:val="0"/>
          <w:color w:val="000000"/>
          <w:spacing w:val="0"/>
          <w:kern w:val="0"/>
          <w:sz w:val="32"/>
          <w:szCs w:val="32"/>
          <w:highlight w:val="none"/>
          <w:shd w:val="clear" w:color="0C0000" w:fill="FFFFFF"/>
          <w:lang w:val="en-US" w:eastAsia="zh-CN"/>
        </w:rPr>
        <w:t>责任单位：区科技局）</w:t>
      </w:r>
    </w:p>
    <w:p>
      <w:pPr>
        <w:wordWrap/>
        <w:adjustRightInd/>
        <w:snapToGrid/>
        <w:spacing w:line="600" w:lineRule="exact"/>
        <w:ind w:firstLine="643" w:firstLineChars="200"/>
        <w:textAlignment w:val="auto"/>
        <w:rPr>
          <w:rFonts w:hint="default" w:ascii="Times New Roman" w:hAnsi="Times New Roman" w:eastAsia="仿宋_GB2312" w:cs="Times New Roman"/>
          <w:b w:val="0"/>
          <w:bCs w:val="0"/>
          <w:i w:val="0"/>
          <w:iCs w:val="0"/>
          <w:caps w:val="0"/>
          <w:color w:val="000000"/>
          <w:spacing w:val="0"/>
          <w:kern w:val="2"/>
          <w:sz w:val="32"/>
          <w:szCs w:val="32"/>
          <w:highlight w:val="none"/>
          <w:shd w:val="clear" w:color="0C0000" w:fill="FFFFFF"/>
          <w:lang w:val="en-US" w:eastAsia="zh-CN" w:bidi="ar-SA"/>
        </w:rPr>
      </w:pPr>
      <w:r>
        <w:rPr>
          <w:rFonts w:hint="default" w:ascii="Times New Roman" w:hAnsi="Times New Roman" w:eastAsia="楷体_GB2312" w:cs="Times New Roman"/>
          <w:b/>
          <w:bCs/>
          <w:i w:val="0"/>
          <w:iCs w:val="0"/>
          <w:caps w:val="0"/>
          <w:color w:val="000000"/>
          <w:spacing w:val="0"/>
          <w:sz w:val="32"/>
          <w:szCs w:val="32"/>
          <w:highlight w:val="none"/>
          <w:shd w:val="clear" w:color="0B0000" w:fill="FFFFFF"/>
          <w:lang w:val="en-US" w:eastAsia="zh-CN"/>
        </w:rPr>
        <w:t>11、推动“软件和信息技术服务业”做大做强。</w:t>
      </w:r>
      <w:r>
        <w:rPr>
          <w:rFonts w:hint="default" w:ascii="Times New Roman" w:hAnsi="Times New Roman" w:eastAsia="仿宋_GB2312" w:cs="Times New Roman"/>
          <w:b w:val="0"/>
          <w:bCs w:val="0"/>
          <w:i w:val="0"/>
          <w:iCs w:val="0"/>
          <w:caps w:val="0"/>
          <w:color w:val="000000"/>
          <w:spacing w:val="0"/>
          <w:kern w:val="2"/>
          <w:sz w:val="32"/>
          <w:szCs w:val="32"/>
          <w:highlight w:val="none"/>
          <w:shd w:val="clear" w:color="0C0000" w:fill="FFFFFF"/>
          <w:lang w:val="en-US" w:eastAsia="zh-CN" w:bidi="ar-SA"/>
        </w:rPr>
        <w:t>软件和信息技术服务业企业当季止累计营业收入增速超过全区平均水平15个百分点</w:t>
      </w:r>
      <w:r>
        <w:rPr>
          <w:rFonts w:hint="eastAsia" w:ascii="Times New Roman" w:hAnsi="Times New Roman" w:eastAsia="仿宋_GB2312" w:cs="Times New Roman"/>
          <w:b w:val="0"/>
          <w:bCs w:val="0"/>
          <w:i w:val="0"/>
          <w:iCs w:val="0"/>
          <w:caps w:val="0"/>
          <w:color w:val="000000"/>
          <w:spacing w:val="0"/>
          <w:kern w:val="2"/>
          <w:sz w:val="32"/>
          <w:szCs w:val="32"/>
          <w:highlight w:val="none"/>
          <w:shd w:val="clear" w:color="0C0000" w:fill="FFFFFF"/>
          <w:lang w:val="en-US" w:eastAsia="zh-CN" w:bidi="ar-SA"/>
        </w:rPr>
        <w:t>及</w:t>
      </w:r>
      <w:r>
        <w:rPr>
          <w:rFonts w:hint="default" w:ascii="Times New Roman" w:hAnsi="Times New Roman" w:eastAsia="仿宋_GB2312" w:cs="Times New Roman"/>
          <w:b w:val="0"/>
          <w:bCs w:val="0"/>
          <w:i w:val="0"/>
          <w:iCs w:val="0"/>
          <w:caps w:val="0"/>
          <w:color w:val="000000"/>
          <w:spacing w:val="0"/>
          <w:kern w:val="2"/>
          <w:sz w:val="32"/>
          <w:szCs w:val="32"/>
          <w:highlight w:val="none"/>
          <w:shd w:val="clear" w:color="0C0000" w:fill="FFFFFF"/>
          <w:lang w:val="en-US" w:eastAsia="zh-CN" w:bidi="ar-SA"/>
        </w:rPr>
        <w:t>以上，且当季营收分别达到2000万元（含）</w:t>
      </w:r>
      <w:r>
        <w:rPr>
          <w:rFonts w:hint="eastAsia" w:ascii="Times New Roman" w:hAnsi="Times New Roman" w:eastAsia="仿宋_GB2312" w:cs="Times New Roman"/>
          <w:b w:val="0"/>
          <w:bCs w:val="0"/>
          <w:i w:val="0"/>
          <w:iCs w:val="0"/>
          <w:caps w:val="0"/>
          <w:color w:val="000000"/>
          <w:spacing w:val="0"/>
          <w:kern w:val="2"/>
          <w:sz w:val="32"/>
          <w:szCs w:val="32"/>
          <w:highlight w:val="none"/>
          <w:shd w:val="clear" w:color="0C0000" w:fill="FFFFFF"/>
          <w:lang w:val="en-US" w:eastAsia="zh-CN" w:bidi="ar-SA"/>
        </w:rPr>
        <w:t>以上</w:t>
      </w:r>
      <w:r>
        <w:rPr>
          <w:rFonts w:hint="default" w:ascii="Times New Roman" w:hAnsi="Times New Roman" w:eastAsia="仿宋_GB2312" w:cs="Times New Roman"/>
          <w:b w:val="0"/>
          <w:bCs w:val="0"/>
          <w:i w:val="0"/>
          <w:iCs w:val="0"/>
          <w:caps w:val="0"/>
          <w:color w:val="000000"/>
          <w:spacing w:val="0"/>
          <w:kern w:val="2"/>
          <w:sz w:val="32"/>
          <w:szCs w:val="32"/>
          <w:highlight w:val="none"/>
          <w:shd w:val="clear" w:color="0C0000" w:fill="FFFFFF"/>
          <w:lang w:val="en-US" w:eastAsia="zh-CN" w:bidi="ar-SA"/>
        </w:rPr>
        <w:t>、5000万元（含）</w:t>
      </w:r>
      <w:r>
        <w:rPr>
          <w:rFonts w:hint="eastAsia" w:ascii="Times New Roman" w:hAnsi="Times New Roman" w:eastAsia="仿宋_GB2312" w:cs="Times New Roman"/>
          <w:b w:val="0"/>
          <w:bCs w:val="0"/>
          <w:i w:val="0"/>
          <w:iCs w:val="0"/>
          <w:caps w:val="0"/>
          <w:color w:val="000000"/>
          <w:spacing w:val="0"/>
          <w:kern w:val="2"/>
          <w:sz w:val="32"/>
          <w:szCs w:val="32"/>
          <w:highlight w:val="none"/>
          <w:shd w:val="clear" w:color="0C0000" w:fill="FFFFFF"/>
          <w:lang w:val="en-US" w:eastAsia="zh-CN" w:bidi="ar-SA"/>
        </w:rPr>
        <w:t>以上</w:t>
      </w:r>
      <w:r>
        <w:rPr>
          <w:rFonts w:hint="default" w:ascii="Times New Roman" w:hAnsi="Times New Roman" w:eastAsia="仿宋_GB2312" w:cs="Times New Roman"/>
          <w:b w:val="0"/>
          <w:bCs w:val="0"/>
          <w:i w:val="0"/>
          <w:iCs w:val="0"/>
          <w:caps w:val="0"/>
          <w:color w:val="000000"/>
          <w:spacing w:val="0"/>
          <w:kern w:val="2"/>
          <w:sz w:val="32"/>
          <w:szCs w:val="32"/>
          <w:highlight w:val="none"/>
          <w:shd w:val="clear" w:color="0C0000" w:fill="FFFFFF"/>
          <w:lang w:val="en-US" w:eastAsia="zh-CN" w:bidi="ar-SA"/>
        </w:rPr>
        <w:t>、1亿元（含）以上的，当季分别给予一次性5万元、10万元、15万元</w:t>
      </w:r>
      <w:r>
        <w:rPr>
          <w:rFonts w:hint="eastAsia" w:ascii="Times New Roman" w:hAnsi="Times New Roman" w:eastAsia="仿宋_GB2312" w:cs="Times New Roman"/>
          <w:b w:val="0"/>
          <w:bCs w:val="0"/>
          <w:i w:val="0"/>
          <w:iCs w:val="0"/>
          <w:caps w:val="0"/>
          <w:color w:val="000000"/>
          <w:spacing w:val="0"/>
          <w:kern w:val="2"/>
          <w:sz w:val="32"/>
          <w:szCs w:val="32"/>
          <w:highlight w:val="none"/>
          <w:shd w:val="clear" w:color="0C0000" w:fill="FFFFFF"/>
          <w:lang w:val="en-US" w:eastAsia="zh-CN" w:bidi="ar-SA"/>
        </w:rPr>
        <w:t>奖励</w:t>
      </w:r>
      <w:r>
        <w:rPr>
          <w:rFonts w:hint="default" w:ascii="Times New Roman" w:hAnsi="Times New Roman" w:eastAsia="仿宋_GB2312" w:cs="Times New Roman"/>
          <w:b w:val="0"/>
          <w:bCs w:val="0"/>
          <w:i w:val="0"/>
          <w:iCs w:val="0"/>
          <w:caps w:val="0"/>
          <w:color w:val="000000"/>
          <w:spacing w:val="0"/>
          <w:kern w:val="2"/>
          <w:sz w:val="32"/>
          <w:szCs w:val="32"/>
          <w:highlight w:val="none"/>
          <w:shd w:val="clear" w:color="0C0000" w:fill="FFFFFF"/>
          <w:lang w:val="en-US" w:eastAsia="zh-CN" w:bidi="ar-SA"/>
        </w:rPr>
        <w:t>。</w:t>
      </w:r>
      <w:r>
        <w:rPr>
          <w:rFonts w:hint="default" w:ascii="Times New Roman" w:hAnsi="Times New Roman" w:eastAsia="仿宋_GB2312" w:cs="Times New Roman"/>
          <w:b w:val="0"/>
          <w:bCs w:val="0"/>
          <w:i w:val="0"/>
          <w:iCs w:val="0"/>
          <w:caps w:val="0"/>
          <w:color w:val="000000"/>
          <w:spacing w:val="0"/>
          <w:sz w:val="32"/>
          <w:szCs w:val="32"/>
          <w:highlight w:val="none"/>
          <w:shd w:val="clear" w:color="0B0000" w:fill="FFFFFF"/>
          <w:lang w:val="en-US" w:eastAsia="zh-CN"/>
        </w:rPr>
        <w:t>（</w:t>
      </w:r>
      <w:r>
        <w:rPr>
          <w:rFonts w:hint="default" w:ascii="Times New Roman" w:hAnsi="Times New Roman" w:eastAsia="楷体_GB2312" w:cs="Times New Roman"/>
          <w:b w:val="0"/>
          <w:bCs w:val="0"/>
          <w:i w:val="0"/>
          <w:iCs w:val="0"/>
          <w:caps w:val="0"/>
          <w:color w:val="000000"/>
          <w:spacing w:val="0"/>
          <w:kern w:val="0"/>
          <w:sz w:val="32"/>
          <w:szCs w:val="32"/>
          <w:highlight w:val="none"/>
          <w:shd w:val="clear" w:color="0C0000" w:fill="FFFFFF"/>
          <w:lang w:val="en-US" w:eastAsia="zh-CN"/>
        </w:rPr>
        <w:t>责任单位：区工信局）</w:t>
      </w:r>
    </w:p>
    <w:p>
      <w:pPr>
        <w:pStyle w:val="6"/>
        <w:widowControl/>
        <w:numPr>
          <w:numId w:val="0"/>
        </w:numPr>
        <w:pBdr>
          <w:top w:val="none" w:color="auto" w:sz="0" w:space="0"/>
          <w:left w:val="none" w:color="auto" w:sz="0" w:space="0"/>
          <w:bottom w:val="none" w:color="auto" w:sz="0" w:space="0"/>
          <w:right w:val="none" w:color="auto" w:sz="0" w:space="0"/>
        </w:pBdr>
        <w:wordWrap/>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黑体" w:cs="Times New Roman"/>
          <w:i w:val="0"/>
          <w:iCs w:val="0"/>
          <w:caps w:val="0"/>
          <w:color w:val="000000"/>
          <w:spacing w:val="0"/>
          <w:sz w:val="32"/>
          <w:szCs w:val="32"/>
          <w:highlight w:val="none"/>
          <w:shd w:val="clear" w:color="090000" w:fill="FFFFFF"/>
          <w:lang w:val="en-US" w:eastAsia="zh-CN"/>
        </w:rPr>
      </w:pPr>
      <w:r>
        <w:rPr>
          <w:rFonts w:hint="default" w:ascii="Times New Roman" w:hAnsi="Times New Roman" w:eastAsia="黑体" w:cs="Times New Roman"/>
          <w:i w:val="0"/>
          <w:iCs w:val="0"/>
          <w:caps w:val="0"/>
          <w:color w:val="000000"/>
          <w:spacing w:val="0"/>
          <w:sz w:val="32"/>
          <w:szCs w:val="32"/>
          <w:highlight w:val="none"/>
          <w:shd w:val="clear" w:color="090000" w:fill="FFFFFF"/>
          <w:lang w:val="en-US" w:eastAsia="zh-CN"/>
        </w:rPr>
        <w:t>三、持续扩大有效投资</w:t>
      </w:r>
    </w:p>
    <w:p>
      <w:pPr>
        <w:wordWrap/>
        <w:adjustRightInd/>
        <w:snapToGrid/>
        <w:spacing w:beforeAutospacing="0" w:afterAutospacing="0" w:line="600" w:lineRule="exact"/>
        <w:ind w:firstLine="643" w:firstLineChars="200"/>
        <w:jc w:val="both"/>
        <w:textAlignment w:val="auto"/>
        <w:rPr>
          <w:rFonts w:hint="default" w:ascii="Times New Roman" w:hAnsi="Times New Roman" w:eastAsia="仿宋_GB2312" w:cs="Times New Roman"/>
          <w:b w:val="0"/>
          <w:bCs w:val="0"/>
          <w:i w:val="0"/>
          <w:iCs w:val="0"/>
          <w:caps w:val="0"/>
          <w:color w:val="000000"/>
          <w:spacing w:val="0"/>
          <w:sz w:val="32"/>
          <w:szCs w:val="32"/>
          <w:highlight w:val="none"/>
          <w:shd w:val="clear" w:color="0B0000" w:fill="FFFFFF"/>
          <w:lang w:val="en-US" w:eastAsia="zh-CN"/>
        </w:rPr>
      </w:pPr>
      <w:r>
        <w:rPr>
          <w:rFonts w:hint="default" w:ascii="Times New Roman" w:hAnsi="Times New Roman" w:eastAsia="楷体_GB2312" w:cs="Times New Roman"/>
          <w:b/>
          <w:bCs/>
          <w:i w:val="0"/>
          <w:iCs w:val="0"/>
          <w:caps w:val="0"/>
          <w:color w:val="000000"/>
          <w:spacing w:val="0"/>
          <w:sz w:val="32"/>
          <w:szCs w:val="32"/>
          <w:highlight w:val="none"/>
          <w:shd w:val="clear" w:color="0B0000" w:fill="FFFFFF"/>
          <w:lang w:val="en-US" w:eastAsia="zh-CN"/>
        </w:rPr>
        <w:t>12、促进重点项目开工建设。</w:t>
      </w:r>
      <w:r>
        <w:rPr>
          <w:rFonts w:hint="default" w:ascii="Times New Roman" w:hAnsi="Times New Roman" w:eastAsia="仿宋_GB2312" w:cs="Times New Roman"/>
          <w:b w:val="0"/>
          <w:bCs w:val="0"/>
          <w:i w:val="0"/>
          <w:iCs w:val="0"/>
          <w:caps w:val="0"/>
          <w:color w:val="000000"/>
          <w:spacing w:val="0"/>
          <w:sz w:val="32"/>
          <w:szCs w:val="32"/>
          <w:highlight w:val="none"/>
          <w:shd w:val="clear" w:color="0B0000" w:fill="FFFFFF"/>
          <w:lang w:val="en-US" w:eastAsia="zh-CN"/>
        </w:rPr>
        <w:t>对新开工总投资1</w:t>
      </w:r>
      <w:r>
        <w:rPr>
          <w:rFonts w:hint="eastAsia" w:ascii="Times New Roman" w:hAnsi="Times New Roman" w:eastAsia="仿宋_GB2312" w:cs="Times New Roman"/>
          <w:b w:val="0"/>
          <w:bCs w:val="0"/>
          <w:i w:val="0"/>
          <w:iCs w:val="0"/>
          <w:caps w:val="0"/>
          <w:color w:val="000000"/>
          <w:spacing w:val="0"/>
          <w:sz w:val="32"/>
          <w:szCs w:val="32"/>
          <w:highlight w:val="none"/>
          <w:shd w:val="clear" w:color="0B0000" w:fill="FFFFFF"/>
          <w:lang w:val="en-US" w:eastAsia="zh-CN"/>
        </w:rPr>
        <w:t>亿元</w:t>
      </w:r>
      <w:r>
        <w:rPr>
          <w:rFonts w:hint="default" w:ascii="Times New Roman" w:hAnsi="Times New Roman" w:eastAsia="仿宋_GB2312" w:cs="Times New Roman"/>
          <w:b w:val="0"/>
          <w:bCs w:val="0"/>
          <w:i w:val="0"/>
          <w:iCs w:val="0"/>
          <w:caps w:val="0"/>
          <w:color w:val="000000"/>
          <w:spacing w:val="0"/>
          <w:sz w:val="32"/>
          <w:szCs w:val="32"/>
          <w:highlight w:val="none"/>
          <w:shd w:val="clear" w:color="0B0000" w:fill="FFFFFF"/>
          <w:lang w:val="en-US" w:eastAsia="zh-CN"/>
        </w:rPr>
        <w:t>（含）-10亿元、10</w:t>
      </w:r>
      <w:r>
        <w:rPr>
          <w:rFonts w:hint="eastAsia" w:ascii="Times New Roman" w:hAnsi="Times New Roman" w:eastAsia="仿宋_GB2312" w:cs="Times New Roman"/>
          <w:b w:val="0"/>
          <w:bCs w:val="0"/>
          <w:i w:val="0"/>
          <w:iCs w:val="0"/>
          <w:caps w:val="0"/>
          <w:color w:val="000000"/>
          <w:spacing w:val="0"/>
          <w:sz w:val="32"/>
          <w:szCs w:val="32"/>
          <w:highlight w:val="none"/>
          <w:shd w:val="clear" w:color="0B0000" w:fill="FFFFFF"/>
          <w:lang w:val="en-US" w:eastAsia="zh-CN"/>
        </w:rPr>
        <w:t>亿元</w:t>
      </w:r>
      <w:r>
        <w:rPr>
          <w:rFonts w:hint="default" w:ascii="Times New Roman" w:hAnsi="Times New Roman" w:eastAsia="仿宋_GB2312" w:cs="Times New Roman"/>
          <w:b w:val="0"/>
          <w:bCs w:val="0"/>
          <w:i w:val="0"/>
          <w:iCs w:val="0"/>
          <w:caps w:val="0"/>
          <w:color w:val="000000"/>
          <w:spacing w:val="0"/>
          <w:sz w:val="32"/>
          <w:szCs w:val="32"/>
          <w:highlight w:val="none"/>
          <w:shd w:val="clear" w:color="0B0000" w:fill="FFFFFF"/>
          <w:lang w:val="en-US" w:eastAsia="zh-CN"/>
        </w:rPr>
        <w:t>（含）-20亿元、20亿元（含）以上的重点项目，当季分别给予项目业主一次性5万元、10万元、15万元奖励；对同时列入“开工一批”并按期开工的项目追加奖励3万元。（</w:t>
      </w:r>
      <w:r>
        <w:rPr>
          <w:rFonts w:hint="default" w:ascii="Times New Roman" w:hAnsi="Times New Roman" w:eastAsia="楷体_GB2312" w:cs="Times New Roman"/>
          <w:b w:val="0"/>
          <w:bCs w:val="0"/>
          <w:i w:val="0"/>
          <w:iCs w:val="0"/>
          <w:caps w:val="0"/>
          <w:color w:val="000000"/>
          <w:spacing w:val="0"/>
          <w:kern w:val="0"/>
          <w:sz w:val="32"/>
          <w:szCs w:val="32"/>
          <w:highlight w:val="none"/>
          <w:shd w:val="clear" w:color="0C0000" w:fill="FFFFFF"/>
          <w:lang w:val="en-US" w:eastAsia="zh-CN"/>
        </w:rPr>
        <w:t>责任单位：区重点项目服务中心）</w:t>
      </w:r>
    </w:p>
    <w:p>
      <w:pPr>
        <w:wordWrap/>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b w:val="0"/>
          <w:bCs w:val="0"/>
          <w:i w:val="0"/>
          <w:iCs w:val="0"/>
          <w:caps w:val="0"/>
          <w:color w:val="000000"/>
          <w:spacing w:val="0"/>
          <w:sz w:val="32"/>
          <w:szCs w:val="32"/>
          <w:highlight w:val="none"/>
          <w:shd w:val="clear" w:color="0B0000" w:fill="FFFFFF"/>
          <w:lang w:val="en-US" w:eastAsia="zh-CN"/>
        </w:rPr>
      </w:pPr>
      <w:r>
        <w:rPr>
          <w:rFonts w:hint="default" w:ascii="Times New Roman" w:hAnsi="Times New Roman" w:eastAsia="仿宋_GB2312" w:cs="Times New Roman"/>
          <w:b w:val="0"/>
          <w:bCs w:val="0"/>
          <w:i w:val="0"/>
          <w:iCs w:val="0"/>
          <w:caps w:val="0"/>
          <w:color w:val="000000"/>
          <w:spacing w:val="0"/>
          <w:sz w:val="32"/>
          <w:szCs w:val="32"/>
          <w:highlight w:val="none"/>
          <w:shd w:val="clear" w:color="0B0000" w:fill="FFFFFF"/>
          <w:lang w:val="en-US" w:eastAsia="zh-CN"/>
        </w:rPr>
        <w:t>对新开工项目当年内纳入统计库形成实质性投资的，按计划总投资1亿元（含）以上、5亿元（含）以上、10亿元（含）以上，20亿元（含）以上，当季分别给予项目业主一次性3万</w:t>
      </w:r>
      <w:r>
        <w:rPr>
          <w:rFonts w:hint="eastAsia" w:ascii="Times New Roman" w:hAnsi="Times New Roman" w:eastAsia="仿宋_GB2312" w:cs="Times New Roman"/>
          <w:b w:val="0"/>
          <w:bCs w:val="0"/>
          <w:i w:val="0"/>
          <w:iCs w:val="0"/>
          <w:caps w:val="0"/>
          <w:color w:val="000000"/>
          <w:spacing w:val="0"/>
          <w:sz w:val="32"/>
          <w:szCs w:val="32"/>
          <w:highlight w:val="none"/>
          <w:shd w:val="clear" w:color="0B0000" w:fill="FFFFFF"/>
          <w:lang w:val="en-US" w:eastAsia="zh-CN"/>
        </w:rPr>
        <w:t>元</w:t>
      </w:r>
      <w:r>
        <w:rPr>
          <w:rFonts w:hint="default" w:ascii="Times New Roman" w:hAnsi="Times New Roman" w:eastAsia="仿宋_GB2312" w:cs="Times New Roman"/>
          <w:b w:val="0"/>
          <w:bCs w:val="0"/>
          <w:i w:val="0"/>
          <w:iCs w:val="0"/>
          <w:caps w:val="0"/>
          <w:color w:val="000000"/>
          <w:spacing w:val="0"/>
          <w:sz w:val="32"/>
          <w:szCs w:val="32"/>
          <w:highlight w:val="none"/>
          <w:shd w:val="clear" w:color="0B0000" w:fill="FFFFFF"/>
          <w:lang w:val="en-US" w:eastAsia="zh-CN"/>
        </w:rPr>
        <w:t>、5万元、10万元、20万元奖励。（</w:t>
      </w:r>
      <w:r>
        <w:rPr>
          <w:rFonts w:hint="default" w:ascii="Times New Roman" w:hAnsi="Times New Roman" w:eastAsia="楷体_GB2312" w:cs="Times New Roman"/>
          <w:b w:val="0"/>
          <w:bCs w:val="0"/>
          <w:i w:val="0"/>
          <w:iCs w:val="0"/>
          <w:caps w:val="0"/>
          <w:color w:val="000000"/>
          <w:spacing w:val="0"/>
          <w:kern w:val="0"/>
          <w:sz w:val="32"/>
          <w:szCs w:val="32"/>
          <w:highlight w:val="none"/>
          <w:shd w:val="clear" w:color="0C0000" w:fill="FFFFFF"/>
          <w:lang w:val="en-US" w:eastAsia="zh-CN"/>
        </w:rPr>
        <w:t>责任单位：区重点项目服务中心）</w:t>
      </w:r>
    </w:p>
    <w:p>
      <w:pPr>
        <w:wordWrap/>
        <w:adjustRightInd/>
        <w:snapToGrid/>
        <w:spacing w:beforeAutospacing="0" w:afterAutospacing="0" w:line="600" w:lineRule="exact"/>
        <w:ind w:firstLine="643" w:firstLineChars="200"/>
        <w:jc w:val="both"/>
        <w:textAlignment w:val="auto"/>
        <w:rPr>
          <w:rFonts w:hint="default" w:ascii="Times New Roman" w:hAnsi="Times New Roman" w:eastAsia="仿宋_GB2312" w:cs="Times New Roman"/>
          <w:b w:val="0"/>
          <w:bCs w:val="0"/>
          <w:i w:val="0"/>
          <w:iCs w:val="0"/>
          <w:caps w:val="0"/>
          <w:color w:val="000000"/>
          <w:spacing w:val="0"/>
          <w:sz w:val="32"/>
          <w:szCs w:val="32"/>
          <w:highlight w:val="none"/>
          <w:shd w:val="clear" w:color="0B0000" w:fill="FFFFFF"/>
          <w:lang w:val="en-US" w:eastAsia="zh-CN"/>
        </w:rPr>
      </w:pPr>
      <w:r>
        <w:rPr>
          <w:rFonts w:hint="default" w:ascii="Times New Roman" w:hAnsi="Times New Roman" w:eastAsia="楷体_GB2312" w:cs="Times New Roman"/>
          <w:b/>
          <w:bCs/>
          <w:i w:val="0"/>
          <w:iCs w:val="0"/>
          <w:caps w:val="0"/>
          <w:color w:val="000000"/>
          <w:spacing w:val="0"/>
          <w:sz w:val="32"/>
          <w:szCs w:val="32"/>
          <w:highlight w:val="none"/>
          <w:shd w:val="clear" w:color="0B0000" w:fill="FFFFFF"/>
          <w:lang w:val="en-US" w:eastAsia="zh-CN"/>
        </w:rPr>
        <w:t>13、积极扩大有效投资。</w:t>
      </w:r>
      <w:r>
        <w:rPr>
          <w:rFonts w:hint="default" w:ascii="Times New Roman" w:hAnsi="Times New Roman" w:eastAsia="仿宋_GB2312" w:cs="Times New Roman"/>
          <w:b w:val="0"/>
          <w:bCs w:val="0"/>
          <w:i w:val="0"/>
          <w:iCs w:val="0"/>
          <w:caps w:val="0"/>
          <w:color w:val="000000"/>
          <w:spacing w:val="0"/>
          <w:sz w:val="32"/>
          <w:szCs w:val="32"/>
          <w:highlight w:val="none"/>
          <w:shd w:val="clear" w:color="0B0000" w:fill="FFFFFF"/>
          <w:lang w:val="en-US" w:eastAsia="zh-CN"/>
        </w:rPr>
        <w:t>对已纳入统计库项目当季完成投资额1亿元（含）以上、3亿元（含）以上、5亿元（含）以上、10亿元（含）以上的，当季分别给予项目业主一次性3万元、5万元、10万元、20万元奖励。（</w:t>
      </w:r>
      <w:r>
        <w:rPr>
          <w:rFonts w:hint="default" w:ascii="Times New Roman" w:hAnsi="Times New Roman" w:eastAsia="楷体_GB2312" w:cs="Times New Roman"/>
          <w:b w:val="0"/>
          <w:bCs w:val="0"/>
          <w:i w:val="0"/>
          <w:iCs w:val="0"/>
          <w:caps w:val="0"/>
          <w:color w:val="000000"/>
          <w:spacing w:val="0"/>
          <w:kern w:val="0"/>
          <w:sz w:val="32"/>
          <w:szCs w:val="32"/>
          <w:highlight w:val="none"/>
          <w:shd w:val="clear" w:color="0C0000" w:fill="FFFFFF"/>
          <w:lang w:val="en-US" w:eastAsia="zh-CN"/>
        </w:rPr>
        <w:t>责任单位：区重点项目服务中心）</w:t>
      </w:r>
    </w:p>
    <w:p>
      <w:pPr>
        <w:wordWrap/>
        <w:adjustRightInd/>
        <w:snapToGrid/>
        <w:spacing w:beforeAutospacing="0" w:afterAutospacing="0" w:line="600" w:lineRule="exact"/>
        <w:ind w:firstLine="643" w:firstLineChars="200"/>
        <w:jc w:val="both"/>
        <w:textAlignment w:val="auto"/>
        <w:rPr>
          <w:rFonts w:hint="default" w:ascii="Times New Roman" w:hAnsi="Times New Roman" w:cs="Times New Roman"/>
          <w:color w:val="000000"/>
          <w:highlight w:val="none"/>
          <w:lang w:val="en-US" w:eastAsia="zh-CN"/>
        </w:rPr>
      </w:pPr>
      <w:r>
        <w:rPr>
          <w:rFonts w:hint="default" w:ascii="Times New Roman" w:hAnsi="Times New Roman" w:eastAsia="楷体_GB2312" w:cs="Times New Roman"/>
          <w:b/>
          <w:bCs/>
          <w:i w:val="0"/>
          <w:iCs w:val="0"/>
          <w:caps w:val="0"/>
          <w:color w:val="000000"/>
          <w:spacing w:val="0"/>
          <w:sz w:val="32"/>
          <w:szCs w:val="32"/>
          <w:highlight w:val="none"/>
          <w:shd w:val="clear" w:color="0B0000" w:fill="FFFFFF"/>
          <w:lang w:val="en-US" w:eastAsia="zh-CN"/>
        </w:rPr>
        <w:t>14、设置“全年投资贡献奖”。</w:t>
      </w:r>
      <w:r>
        <w:rPr>
          <w:rFonts w:hint="default" w:ascii="Times New Roman" w:hAnsi="Times New Roman" w:eastAsia="仿宋_GB2312" w:cs="Times New Roman"/>
          <w:b w:val="0"/>
          <w:bCs w:val="0"/>
          <w:i w:val="0"/>
          <w:iCs w:val="0"/>
          <w:caps w:val="0"/>
          <w:color w:val="000000"/>
          <w:spacing w:val="0"/>
          <w:sz w:val="32"/>
          <w:szCs w:val="32"/>
          <w:highlight w:val="none"/>
          <w:shd w:val="clear" w:color="0B0000" w:fill="FFFFFF"/>
          <w:lang w:val="en-US" w:eastAsia="zh-CN"/>
        </w:rPr>
        <w:t>对2022年度完成固定资产投资额1-5名的项目，给予项目业主一次性10万元奖励；对2022年度完成固定资产投资额6-10名的项目，给予项目业主一次性5万元奖励。同时对列入“投产一批”项目按期投产达效的项目追加3万元奖励。（</w:t>
      </w:r>
      <w:r>
        <w:rPr>
          <w:rFonts w:hint="default" w:ascii="Times New Roman" w:hAnsi="Times New Roman" w:eastAsia="楷体_GB2312" w:cs="Times New Roman"/>
          <w:b w:val="0"/>
          <w:bCs w:val="0"/>
          <w:i w:val="0"/>
          <w:iCs w:val="0"/>
          <w:caps w:val="0"/>
          <w:color w:val="000000"/>
          <w:spacing w:val="0"/>
          <w:kern w:val="0"/>
          <w:sz w:val="32"/>
          <w:szCs w:val="32"/>
          <w:highlight w:val="none"/>
          <w:shd w:val="clear" w:color="0C0000" w:fill="FFFFFF"/>
          <w:lang w:val="en-US" w:eastAsia="zh-CN"/>
        </w:rPr>
        <w:t>责任单位：区重点项目服务中心）</w:t>
      </w:r>
    </w:p>
    <w:p>
      <w:pPr>
        <w:wordWrap/>
        <w:adjustRightInd/>
        <w:snapToGrid/>
        <w:spacing w:beforeAutospacing="0" w:afterAutospacing="0" w:line="600" w:lineRule="exact"/>
        <w:ind w:firstLine="643" w:firstLineChars="200"/>
        <w:jc w:val="both"/>
        <w:textAlignment w:val="auto"/>
        <w:rPr>
          <w:rFonts w:hint="default" w:ascii="Times New Roman" w:hAnsi="Times New Roman" w:eastAsia="仿宋_GB2312" w:cs="Times New Roman"/>
          <w:b w:val="0"/>
          <w:bCs w:val="0"/>
          <w:i w:val="0"/>
          <w:iCs w:val="0"/>
          <w:caps w:val="0"/>
          <w:color w:val="000000"/>
          <w:spacing w:val="0"/>
          <w:sz w:val="32"/>
          <w:szCs w:val="32"/>
          <w:highlight w:val="none"/>
          <w:shd w:val="clear" w:color="0B0000" w:fill="FFFFFF"/>
          <w:lang w:val="en-US" w:eastAsia="zh-CN"/>
        </w:rPr>
      </w:pPr>
      <w:r>
        <w:rPr>
          <w:rFonts w:hint="default" w:ascii="Times New Roman" w:hAnsi="Times New Roman" w:eastAsia="楷体_GB2312" w:cs="Times New Roman"/>
          <w:b/>
          <w:bCs/>
          <w:i w:val="0"/>
          <w:iCs w:val="0"/>
          <w:caps w:val="0"/>
          <w:color w:val="000000"/>
          <w:spacing w:val="0"/>
          <w:kern w:val="0"/>
          <w:sz w:val="32"/>
          <w:szCs w:val="32"/>
          <w:highlight w:val="none"/>
          <w:shd w:val="clear" w:color="0C0000" w:fill="FFFFFF"/>
          <w:lang w:val="en-US" w:eastAsia="zh-CN"/>
        </w:rPr>
        <w:t>15、提升实际利用外资水平。</w:t>
      </w:r>
      <w:r>
        <w:rPr>
          <w:rFonts w:hint="default" w:ascii="Times New Roman" w:hAnsi="Times New Roman" w:eastAsia="仿宋_GB2312" w:cs="Times New Roman"/>
          <w:b w:val="0"/>
          <w:bCs w:val="0"/>
          <w:i w:val="0"/>
          <w:iCs w:val="0"/>
          <w:caps w:val="0"/>
          <w:color w:val="000000"/>
          <w:spacing w:val="0"/>
          <w:sz w:val="32"/>
          <w:szCs w:val="32"/>
          <w:highlight w:val="none"/>
          <w:shd w:val="clear" w:color="0B0000" w:fill="FFFFFF"/>
          <w:lang w:val="en-US" w:eastAsia="zh-CN"/>
        </w:rPr>
        <w:t>对本辖区新设外资企业实缴注册资本金达到500万美元及以上的，给予一次性20万元奖励；实缴注册资本金每增加500万美元，一次性追加资金20万元奖励，最高不超过200万元。辖区外资企业增加投资，每新增实缴注册资本金100万美元，给予一次性资金2万元奖励，最高不超过100万元。（实缴注册资本金累计计算时限不超过2年，房地产、城市综合体、矿产资源开采项目不在支持范围）</w:t>
      </w:r>
    </w:p>
    <w:p>
      <w:pPr>
        <w:wordWrap/>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b w:val="0"/>
          <w:bCs w:val="0"/>
          <w:i w:val="0"/>
          <w:iCs w:val="0"/>
          <w:caps w:val="0"/>
          <w:color w:val="000000"/>
          <w:spacing w:val="0"/>
          <w:sz w:val="32"/>
          <w:szCs w:val="32"/>
          <w:highlight w:val="none"/>
          <w:shd w:val="clear" w:color="0B0000" w:fill="FFFFFF"/>
          <w:lang w:val="en-US" w:eastAsia="zh-CN"/>
        </w:rPr>
      </w:pPr>
      <w:r>
        <w:rPr>
          <w:rFonts w:hint="default" w:ascii="Times New Roman" w:hAnsi="Times New Roman" w:eastAsia="仿宋_GB2312" w:cs="Times New Roman"/>
          <w:b w:val="0"/>
          <w:bCs w:val="0"/>
          <w:i w:val="0"/>
          <w:iCs w:val="0"/>
          <w:caps w:val="0"/>
          <w:color w:val="000000"/>
          <w:spacing w:val="0"/>
          <w:sz w:val="32"/>
          <w:szCs w:val="32"/>
          <w:highlight w:val="none"/>
          <w:shd w:val="clear" w:color="0B0000" w:fill="FFFFFF"/>
          <w:lang w:val="en-US" w:eastAsia="zh-CN"/>
        </w:rPr>
        <w:t>企业投资项目列入当年度河南省“三个一批”项目的，给予一次性3万元奖励。（</w:t>
      </w:r>
      <w:r>
        <w:rPr>
          <w:rFonts w:hint="default" w:ascii="Times New Roman" w:hAnsi="Times New Roman" w:eastAsia="楷体_GB2312" w:cs="Times New Roman"/>
          <w:b w:val="0"/>
          <w:bCs w:val="0"/>
          <w:i w:val="0"/>
          <w:iCs w:val="0"/>
          <w:caps w:val="0"/>
          <w:color w:val="000000"/>
          <w:spacing w:val="0"/>
          <w:kern w:val="0"/>
          <w:sz w:val="32"/>
          <w:szCs w:val="32"/>
          <w:highlight w:val="none"/>
          <w:shd w:val="clear" w:color="0C0000" w:fill="FFFFFF"/>
          <w:lang w:val="en-US" w:eastAsia="zh-CN"/>
        </w:rPr>
        <w:t>责任单位：区商务局）</w:t>
      </w:r>
    </w:p>
    <w:p>
      <w:pPr>
        <w:wordWrap/>
        <w:adjustRightInd/>
        <w:snapToGrid/>
        <w:spacing w:beforeAutospacing="0" w:afterAutospacing="0" w:line="600" w:lineRule="exact"/>
        <w:ind w:firstLine="643" w:firstLineChars="200"/>
        <w:jc w:val="both"/>
        <w:textAlignment w:val="auto"/>
        <w:rPr>
          <w:rStyle w:val="8"/>
          <w:rFonts w:hint="default" w:ascii="Times New Roman" w:hAnsi="Times New Roman" w:eastAsia="仿宋_GB2312" w:cs="Times New Roman"/>
          <w:b w:val="0"/>
          <w:bCs w:val="0"/>
          <w:i w:val="0"/>
          <w:iCs w:val="0"/>
          <w:caps w:val="0"/>
          <w:color w:val="000000"/>
          <w:spacing w:val="0"/>
          <w:sz w:val="32"/>
          <w:szCs w:val="32"/>
          <w:highlight w:val="none"/>
          <w:shd w:val="clear" w:color="0C0000" w:fill="FFFFFF"/>
          <w:lang w:val="en-US" w:eastAsia="zh-CN"/>
        </w:rPr>
      </w:pPr>
      <w:r>
        <w:rPr>
          <w:rFonts w:hint="default" w:ascii="Times New Roman" w:hAnsi="Times New Roman" w:eastAsia="楷体_GB2312" w:cs="Times New Roman"/>
          <w:b/>
          <w:bCs/>
          <w:i w:val="0"/>
          <w:iCs w:val="0"/>
          <w:caps w:val="0"/>
          <w:color w:val="000000"/>
          <w:spacing w:val="0"/>
          <w:sz w:val="32"/>
          <w:szCs w:val="32"/>
          <w:highlight w:val="none"/>
          <w:shd w:val="clear" w:color="0B0000" w:fill="FFFFFF"/>
          <w:lang w:val="en-US" w:eastAsia="zh-CN"/>
        </w:rPr>
        <w:t>16、支持企业实施技术改造投资。</w:t>
      </w:r>
      <w:r>
        <w:rPr>
          <w:rStyle w:val="8"/>
          <w:rFonts w:hint="default" w:ascii="Times New Roman" w:hAnsi="Times New Roman" w:eastAsia="仿宋_GB2312" w:cs="Times New Roman"/>
          <w:b w:val="0"/>
          <w:bCs w:val="0"/>
          <w:i w:val="0"/>
          <w:iCs w:val="0"/>
          <w:caps w:val="0"/>
          <w:color w:val="000000"/>
          <w:spacing w:val="0"/>
          <w:sz w:val="32"/>
          <w:szCs w:val="32"/>
          <w:highlight w:val="none"/>
          <w:shd w:val="clear" w:color="0C0000" w:fill="FFFFFF"/>
          <w:lang w:val="en-US" w:eastAsia="zh-CN"/>
        </w:rPr>
        <w:t>当季新纳统技术改造投资额分别达到500万</w:t>
      </w:r>
      <w:r>
        <w:rPr>
          <w:rStyle w:val="8"/>
          <w:rFonts w:hint="eastAsia" w:ascii="Times New Roman" w:hAnsi="Times New Roman" w:eastAsia="仿宋_GB2312" w:cs="Times New Roman"/>
          <w:b w:val="0"/>
          <w:bCs w:val="0"/>
          <w:i w:val="0"/>
          <w:iCs w:val="0"/>
          <w:caps w:val="0"/>
          <w:color w:val="000000"/>
          <w:spacing w:val="0"/>
          <w:sz w:val="32"/>
          <w:szCs w:val="32"/>
          <w:highlight w:val="none"/>
          <w:shd w:val="clear" w:color="0C0000" w:fill="FFFFFF"/>
          <w:lang w:val="en-US" w:eastAsia="zh-CN"/>
        </w:rPr>
        <w:t>元</w:t>
      </w:r>
      <w:r>
        <w:rPr>
          <w:rFonts w:hint="default" w:ascii="Times New Roman" w:hAnsi="Times New Roman" w:eastAsia="仿宋_GB2312" w:cs="Times New Roman"/>
          <w:b w:val="0"/>
          <w:bCs w:val="0"/>
          <w:i w:val="0"/>
          <w:iCs w:val="0"/>
          <w:caps w:val="0"/>
          <w:color w:val="000000"/>
          <w:spacing w:val="0"/>
          <w:sz w:val="32"/>
          <w:szCs w:val="32"/>
          <w:highlight w:val="none"/>
          <w:shd w:val="clear" w:color="0B0000" w:fill="FFFFFF"/>
          <w:lang w:val="en-US" w:eastAsia="zh-CN"/>
        </w:rPr>
        <w:t>（含）以上</w:t>
      </w:r>
      <w:r>
        <w:rPr>
          <w:rStyle w:val="8"/>
          <w:rFonts w:hint="default" w:ascii="Times New Roman" w:hAnsi="Times New Roman" w:eastAsia="仿宋_GB2312" w:cs="Times New Roman"/>
          <w:b w:val="0"/>
          <w:bCs w:val="0"/>
          <w:i w:val="0"/>
          <w:iCs w:val="0"/>
          <w:caps w:val="0"/>
          <w:color w:val="000000"/>
          <w:spacing w:val="0"/>
          <w:sz w:val="32"/>
          <w:szCs w:val="32"/>
          <w:highlight w:val="none"/>
          <w:shd w:val="clear" w:color="0C0000" w:fill="FFFFFF"/>
          <w:lang w:val="en-US" w:eastAsia="zh-CN"/>
        </w:rPr>
        <w:t>、1000万元</w:t>
      </w:r>
      <w:r>
        <w:rPr>
          <w:rFonts w:hint="default" w:ascii="Times New Roman" w:hAnsi="Times New Roman" w:eastAsia="仿宋_GB2312" w:cs="Times New Roman"/>
          <w:b w:val="0"/>
          <w:bCs w:val="0"/>
          <w:i w:val="0"/>
          <w:iCs w:val="0"/>
          <w:caps w:val="0"/>
          <w:color w:val="000000"/>
          <w:spacing w:val="0"/>
          <w:sz w:val="32"/>
          <w:szCs w:val="32"/>
          <w:highlight w:val="none"/>
          <w:shd w:val="clear" w:color="0B0000" w:fill="FFFFFF"/>
          <w:lang w:val="en-US" w:eastAsia="zh-CN"/>
        </w:rPr>
        <w:t>（含）以上</w:t>
      </w:r>
      <w:r>
        <w:rPr>
          <w:rStyle w:val="8"/>
          <w:rFonts w:hint="default" w:ascii="Times New Roman" w:hAnsi="Times New Roman" w:eastAsia="仿宋_GB2312" w:cs="Times New Roman"/>
          <w:b w:val="0"/>
          <w:bCs w:val="0"/>
          <w:i w:val="0"/>
          <w:iCs w:val="0"/>
          <w:caps w:val="0"/>
          <w:color w:val="000000"/>
          <w:spacing w:val="0"/>
          <w:sz w:val="32"/>
          <w:szCs w:val="32"/>
          <w:highlight w:val="none"/>
          <w:shd w:val="clear" w:color="0C0000" w:fill="FFFFFF"/>
          <w:lang w:val="en-US" w:eastAsia="zh-CN"/>
        </w:rPr>
        <w:t>、2000万元</w:t>
      </w:r>
      <w:r>
        <w:rPr>
          <w:rFonts w:hint="default" w:ascii="Times New Roman" w:hAnsi="Times New Roman" w:eastAsia="仿宋_GB2312" w:cs="Times New Roman"/>
          <w:b w:val="0"/>
          <w:bCs w:val="0"/>
          <w:i w:val="0"/>
          <w:iCs w:val="0"/>
          <w:caps w:val="0"/>
          <w:color w:val="000000"/>
          <w:spacing w:val="0"/>
          <w:sz w:val="32"/>
          <w:szCs w:val="32"/>
          <w:highlight w:val="none"/>
          <w:shd w:val="clear" w:color="0B0000" w:fill="FFFFFF"/>
          <w:lang w:val="en-US" w:eastAsia="zh-CN"/>
        </w:rPr>
        <w:t>（含）以上的</w:t>
      </w:r>
      <w:r>
        <w:rPr>
          <w:rStyle w:val="8"/>
          <w:rFonts w:hint="default" w:ascii="Times New Roman" w:hAnsi="Times New Roman" w:eastAsia="仿宋_GB2312" w:cs="Times New Roman"/>
          <w:b w:val="0"/>
          <w:bCs w:val="0"/>
          <w:i w:val="0"/>
          <w:iCs w:val="0"/>
          <w:caps w:val="0"/>
          <w:color w:val="000000"/>
          <w:spacing w:val="0"/>
          <w:sz w:val="32"/>
          <w:szCs w:val="32"/>
          <w:highlight w:val="none"/>
          <w:shd w:val="clear" w:color="0C0000" w:fill="FFFFFF"/>
          <w:lang w:val="en-US" w:eastAsia="zh-CN"/>
        </w:rPr>
        <w:t>，当季分别给予一次性3万</w:t>
      </w:r>
      <w:r>
        <w:rPr>
          <w:rStyle w:val="8"/>
          <w:rFonts w:hint="eastAsia" w:ascii="Times New Roman" w:hAnsi="Times New Roman" w:eastAsia="仿宋_GB2312" w:cs="Times New Roman"/>
          <w:b w:val="0"/>
          <w:bCs w:val="0"/>
          <w:i w:val="0"/>
          <w:iCs w:val="0"/>
          <w:caps w:val="0"/>
          <w:color w:val="000000"/>
          <w:spacing w:val="0"/>
          <w:sz w:val="32"/>
          <w:szCs w:val="32"/>
          <w:highlight w:val="none"/>
          <w:shd w:val="clear" w:color="0C0000" w:fill="FFFFFF"/>
          <w:lang w:val="en-US" w:eastAsia="zh-CN"/>
        </w:rPr>
        <w:t>元</w:t>
      </w:r>
      <w:r>
        <w:rPr>
          <w:rStyle w:val="8"/>
          <w:rFonts w:hint="default" w:ascii="Times New Roman" w:hAnsi="Times New Roman" w:eastAsia="仿宋_GB2312" w:cs="Times New Roman"/>
          <w:b w:val="0"/>
          <w:bCs w:val="0"/>
          <w:i w:val="0"/>
          <w:iCs w:val="0"/>
          <w:caps w:val="0"/>
          <w:color w:val="000000"/>
          <w:spacing w:val="0"/>
          <w:sz w:val="32"/>
          <w:szCs w:val="32"/>
          <w:highlight w:val="none"/>
          <w:shd w:val="clear" w:color="0C0000" w:fill="FFFFFF"/>
          <w:lang w:val="en-US" w:eastAsia="zh-CN"/>
        </w:rPr>
        <w:t>、5万</w:t>
      </w:r>
      <w:r>
        <w:rPr>
          <w:rStyle w:val="8"/>
          <w:rFonts w:hint="eastAsia" w:ascii="Times New Roman" w:hAnsi="Times New Roman" w:eastAsia="仿宋_GB2312" w:cs="Times New Roman"/>
          <w:b w:val="0"/>
          <w:bCs w:val="0"/>
          <w:i w:val="0"/>
          <w:iCs w:val="0"/>
          <w:caps w:val="0"/>
          <w:color w:val="000000"/>
          <w:spacing w:val="0"/>
          <w:sz w:val="32"/>
          <w:szCs w:val="32"/>
          <w:highlight w:val="none"/>
          <w:shd w:val="clear" w:color="0C0000" w:fill="FFFFFF"/>
          <w:lang w:val="en-US" w:eastAsia="zh-CN"/>
        </w:rPr>
        <w:t>元</w:t>
      </w:r>
      <w:r>
        <w:rPr>
          <w:rStyle w:val="8"/>
          <w:rFonts w:hint="default" w:ascii="Times New Roman" w:hAnsi="Times New Roman" w:eastAsia="仿宋_GB2312" w:cs="Times New Roman"/>
          <w:b w:val="0"/>
          <w:bCs w:val="0"/>
          <w:i w:val="0"/>
          <w:iCs w:val="0"/>
          <w:caps w:val="0"/>
          <w:color w:val="000000"/>
          <w:spacing w:val="0"/>
          <w:sz w:val="32"/>
          <w:szCs w:val="32"/>
          <w:highlight w:val="none"/>
          <w:shd w:val="clear" w:color="0C0000" w:fill="FFFFFF"/>
          <w:lang w:val="en-US" w:eastAsia="zh-CN"/>
        </w:rPr>
        <w:t>、10万</w:t>
      </w:r>
      <w:r>
        <w:rPr>
          <w:rStyle w:val="8"/>
          <w:rFonts w:hint="eastAsia" w:ascii="Times New Roman" w:hAnsi="Times New Roman" w:eastAsia="仿宋_GB2312" w:cs="Times New Roman"/>
          <w:b w:val="0"/>
          <w:bCs w:val="0"/>
          <w:i w:val="0"/>
          <w:iCs w:val="0"/>
          <w:caps w:val="0"/>
          <w:color w:val="000000"/>
          <w:spacing w:val="0"/>
          <w:sz w:val="32"/>
          <w:szCs w:val="32"/>
          <w:highlight w:val="none"/>
          <w:shd w:val="clear" w:color="0C0000" w:fill="FFFFFF"/>
          <w:lang w:val="en-US" w:eastAsia="zh-CN"/>
        </w:rPr>
        <w:t>元</w:t>
      </w:r>
      <w:r>
        <w:rPr>
          <w:rStyle w:val="8"/>
          <w:rFonts w:hint="default" w:ascii="Times New Roman" w:hAnsi="Times New Roman" w:eastAsia="仿宋_GB2312" w:cs="Times New Roman"/>
          <w:b w:val="0"/>
          <w:bCs w:val="0"/>
          <w:i w:val="0"/>
          <w:iCs w:val="0"/>
          <w:caps w:val="0"/>
          <w:color w:val="000000"/>
          <w:spacing w:val="0"/>
          <w:sz w:val="32"/>
          <w:szCs w:val="32"/>
          <w:highlight w:val="none"/>
          <w:shd w:val="clear" w:color="0C0000" w:fill="FFFFFF"/>
          <w:lang w:val="en-US" w:eastAsia="zh-CN"/>
        </w:rPr>
        <w:t>补助。</w:t>
      </w:r>
      <w:r>
        <w:rPr>
          <w:rFonts w:hint="default" w:ascii="Times New Roman" w:hAnsi="Times New Roman" w:eastAsia="仿宋_GB2312" w:cs="Times New Roman"/>
          <w:b w:val="0"/>
          <w:bCs w:val="0"/>
          <w:i w:val="0"/>
          <w:iCs w:val="0"/>
          <w:caps w:val="0"/>
          <w:color w:val="000000"/>
          <w:spacing w:val="0"/>
          <w:sz w:val="32"/>
          <w:szCs w:val="32"/>
          <w:highlight w:val="none"/>
          <w:shd w:val="clear" w:color="0B0000" w:fill="FFFFFF"/>
          <w:lang w:val="en-US" w:eastAsia="zh-CN"/>
        </w:rPr>
        <w:t>（</w:t>
      </w:r>
      <w:r>
        <w:rPr>
          <w:rFonts w:hint="default" w:ascii="Times New Roman" w:hAnsi="Times New Roman" w:eastAsia="楷体_GB2312" w:cs="Times New Roman"/>
          <w:b w:val="0"/>
          <w:bCs w:val="0"/>
          <w:i w:val="0"/>
          <w:iCs w:val="0"/>
          <w:caps w:val="0"/>
          <w:color w:val="000000"/>
          <w:spacing w:val="0"/>
          <w:kern w:val="0"/>
          <w:sz w:val="32"/>
          <w:szCs w:val="32"/>
          <w:highlight w:val="none"/>
          <w:shd w:val="clear" w:color="0C0000" w:fill="FFFFFF"/>
          <w:lang w:val="en-US" w:eastAsia="zh-CN"/>
        </w:rPr>
        <w:t>责任单位：区工信局）</w:t>
      </w:r>
    </w:p>
    <w:p>
      <w:pPr>
        <w:pStyle w:val="6"/>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600" w:lineRule="exact"/>
        <w:ind w:right="0" w:firstLine="640" w:firstLineChars="200"/>
        <w:jc w:val="both"/>
        <w:textAlignment w:val="auto"/>
        <w:rPr>
          <w:rStyle w:val="8"/>
          <w:rFonts w:hint="default" w:ascii="Times New Roman" w:hAnsi="Times New Roman" w:eastAsia="黑体" w:cs="Times New Roman"/>
          <w:b w:val="0"/>
          <w:bCs w:val="0"/>
          <w:i w:val="0"/>
          <w:iCs w:val="0"/>
          <w:caps w:val="0"/>
          <w:color w:val="000000"/>
          <w:spacing w:val="0"/>
          <w:sz w:val="32"/>
          <w:szCs w:val="32"/>
          <w:highlight w:val="none"/>
          <w:shd w:val="clear" w:color="0C0000" w:fill="FFFFFF"/>
          <w:lang w:val="en-US" w:eastAsia="zh-CN"/>
        </w:rPr>
      </w:pPr>
      <w:r>
        <w:rPr>
          <w:rStyle w:val="8"/>
          <w:rFonts w:hint="default" w:ascii="Times New Roman" w:hAnsi="Times New Roman" w:eastAsia="黑体" w:cs="Times New Roman"/>
          <w:b w:val="0"/>
          <w:bCs w:val="0"/>
          <w:i w:val="0"/>
          <w:iCs w:val="0"/>
          <w:caps w:val="0"/>
          <w:color w:val="000000"/>
          <w:spacing w:val="0"/>
          <w:sz w:val="32"/>
          <w:szCs w:val="32"/>
          <w:highlight w:val="none"/>
          <w:shd w:val="clear" w:color="0C0000" w:fill="FFFFFF"/>
          <w:lang w:val="en-US" w:eastAsia="zh-CN"/>
        </w:rPr>
        <w:t>四、持续提升发展质效</w:t>
      </w:r>
    </w:p>
    <w:p>
      <w:pPr>
        <w:wordWrap/>
        <w:adjustRightInd/>
        <w:snapToGrid/>
        <w:spacing w:beforeAutospacing="0" w:afterAutospacing="0" w:line="600" w:lineRule="exact"/>
        <w:ind w:firstLine="643" w:firstLineChars="200"/>
        <w:jc w:val="both"/>
        <w:textAlignment w:val="auto"/>
        <w:rPr>
          <w:rStyle w:val="8"/>
          <w:rFonts w:hint="default" w:ascii="Times New Roman" w:hAnsi="Times New Roman" w:eastAsia="仿宋_GB2312" w:cs="Times New Roman"/>
          <w:b w:val="0"/>
          <w:bCs w:val="0"/>
          <w:i w:val="0"/>
          <w:iCs w:val="0"/>
          <w:caps w:val="0"/>
          <w:color w:val="000000"/>
          <w:spacing w:val="0"/>
          <w:sz w:val="32"/>
          <w:szCs w:val="32"/>
          <w:highlight w:val="none"/>
          <w:shd w:val="clear" w:color="0C0000" w:fill="FFFFFF"/>
          <w:lang w:val="en-US" w:eastAsia="zh-CN"/>
        </w:rPr>
      </w:pPr>
      <w:r>
        <w:rPr>
          <w:rFonts w:hint="default" w:ascii="Times New Roman" w:hAnsi="Times New Roman" w:eastAsia="楷体_GB2312" w:cs="Times New Roman"/>
          <w:b/>
          <w:bCs/>
          <w:i w:val="0"/>
          <w:iCs w:val="0"/>
          <w:caps w:val="0"/>
          <w:color w:val="000000"/>
          <w:spacing w:val="0"/>
          <w:sz w:val="32"/>
          <w:szCs w:val="32"/>
          <w:highlight w:val="none"/>
          <w:shd w:val="clear" w:color="0B0000" w:fill="FFFFFF"/>
          <w:lang w:val="en-US" w:eastAsia="zh-CN"/>
        </w:rPr>
        <w:t>17、促进“规上”工业增产达效。</w:t>
      </w:r>
      <w:r>
        <w:rPr>
          <w:rStyle w:val="8"/>
          <w:rFonts w:hint="default" w:ascii="Times New Roman" w:hAnsi="Times New Roman" w:eastAsia="仿宋_GB2312" w:cs="Times New Roman"/>
          <w:b w:val="0"/>
          <w:bCs w:val="0"/>
          <w:i w:val="0"/>
          <w:iCs w:val="0"/>
          <w:caps w:val="0"/>
          <w:color w:val="000000"/>
          <w:spacing w:val="0"/>
          <w:sz w:val="32"/>
          <w:szCs w:val="32"/>
          <w:highlight w:val="none"/>
          <w:shd w:val="clear" w:color="0C0000" w:fill="FFFFFF"/>
          <w:lang w:val="en-US" w:eastAsia="zh-CN"/>
        </w:rPr>
        <w:t>促进“规上”工业增产达效。工业企业当季止累计产值增速达到15%</w:t>
      </w:r>
      <w:r>
        <w:rPr>
          <w:rStyle w:val="8"/>
          <w:rFonts w:hint="eastAsia" w:ascii="Times New Roman" w:hAnsi="Times New Roman" w:eastAsia="仿宋_GB2312" w:cs="Times New Roman"/>
          <w:b w:val="0"/>
          <w:bCs w:val="0"/>
          <w:i w:val="0"/>
          <w:iCs w:val="0"/>
          <w:caps w:val="0"/>
          <w:color w:val="000000"/>
          <w:spacing w:val="0"/>
          <w:sz w:val="32"/>
          <w:szCs w:val="32"/>
          <w:highlight w:val="none"/>
          <w:shd w:val="clear" w:color="0C0000" w:fill="FFFFFF"/>
          <w:lang w:val="en-US" w:eastAsia="zh-CN"/>
        </w:rPr>
        <w:t>及</w:t>
      </w:r>
      <w:r>
        <w:rPr>
          <w:rStyle w:val="8"/>
          <w:rFonts w:hint="default" w:ascii="Times New Roman" w:hAnsi="Times New Roman" w:eastAsia="仿宋_GB2312" w:cs="Times New Roman"/>
          <w:b w:val="0"/>
          <w:bCs w:val="0"/>
          <w:i w:val="0"/>
          <w:iCs w:val="0"/>
          <w:caps w:val="0"/>
          <w:color w:val="000000"/>
          <w:spacing w:val="0"/>
          <w:sz w:val="32"/>
          <w:szCs w:val="32"/>
          <w:highlight w:val="none"/>
          <w:shd w:val="clear" w:color="0C0000" w:fill="FFFFFF"/>
          <w:lang w:val="en-US" w:eastAsia="zh-CN"/>
        </w:rPr>
        <w:t>以上，且当季产值达到1000万元（含）以上、2000万元（含）以上、5000万</w:t>
      </w:r>
      <w:r>
        <w:rPr>
          <w:rStyle w:val="8"/>
          <w:rFonts w:hint="eastAsia" w:ascii="Times New Roman" w:hAnsi="Times New Roman" w:eastAsia="仿宋_GB2312" w:cs="Times New Roman"/>
          <w:b w:val="0"/>
          <w:bCs w:val="0"/>
          <w:i w:val="0"/>
          <w:iCs w:val="0"/>
          <w:caps w:val="0"/>
          <w:color w:val="000000"/>
          <w:spacing w:val="0"/>
          <w:sz w:val="32"/>
          <w:szCs w:val="32"/>
          <w:highlight w:val="none"/>
          <w:shd w:val="clear" w:color="0C0000" w:fill="FFFFFF"/>
          <w:lang w:val="en-US" w:eastAsia="zh-CN"/>
        </w:rPr>
        <w:t>元</w:t>
      </w:r>
      <w:r>
        <w:rPr>
          <w:rStyle w:val="8"/>
          <w:rFonts w:hint="default" w:ascii="Times New Roman" w:hAnsi="Times New Roman" w:eastAsia="仿宋_GB2312" w:cs="Times New Roman"/>
          <w:b w:val="0"/>
          <w:bCs w:val="0"/>
          <w:i w:val="0"/>
          <w:iCs w:val="0"/>
          <w:caps w:val="0"/>
          <w:color w:val="000000"/>
          <w:spacing w:val="0"/>
          <w:sz w:val="32"/>
          <w:szCs w:val="32"/>
          <w:highlight w:val="none"/>
          <w:shd w:val="clear" w:color="0C0000" w:fill="FFFFFF"/>
          <w:lang w:val="en-US" w:eastAsia="zh-CN"/>
        </w:rPr>
        <w:t>（含）以上、1亿元（含）以上的，当季分别给予一次性3万元、5万元、10万元、15万元奖励；对截至2022年底年销售收入排名全区“规上”工业企业前五的企业且满足以上增速水平、规模条件的企业追加5万元奖励。</w:t>
      </w:r>
      <w:r>
        <w:rPr>
          <w:rFonts w:hint="default" w:ascii="Times New Roman" w:hAnsi="Times New Roman" w:eastAsia="仿宋_GB2312" w:cs="Times New Roman"/>
          <w:b w:val="0"/>
          <w:bCs w:val="0"/>
          <w:i w:val="0"/>
          <w:iCs w:val="0"/>
          <w:caps w:val="0"/>
          <w:color w:val="000000"/>
          <w:spacing w:val="0"/>
          <w:sz w:val="32"/>
          <w:szCs w:val="32"/>
          <w:highlight w:val="none"/>
          <w:shd w:val="clear" w:color="0B0000" w:fill="FFFFFF"/>
          <w:lang w:val="en-US" w:eastAsia="zh-CN"/>
        </w:rPr>
        <w:t>（</w:t>
      </w:r>
      <w:r>
        <w:rPr>
          <w:rFonts w:hint="default" w:ascii="Times New Roman" w:hAnsi="Times New Roman" w:eastAsia="楷体_GB2312" w:cs="Times New Roman"/>
          <w:b w:val="0"/>
          <w:bCs w:val="0"/>
          <w:i w:val="0"/>
          <w:iCs w:val="0"/>
          <w:caps w:val="0"/>
          <w:color w:val="000000"/>
          <w:spacing w:val="0"/>
          <w:kern w:val="0"/>
          <w:sz w:val="32"/>
          <w:szCs w:val="32"/>
          <w:highlight w:val="none"/>
          <w:shd w:val="clear" w:color="0C0000" w:fill="FFFFFF"/>
          <w:lang w:val="en-US" w:eastAsia="zh-CN"/>
        </w:rPr>
        <w:t>责任单位：区工信局）</w:t>
      </w:r>
    </w:p>
    <w:p>
      <w:pPr>
        <w:wordWrap/>
        <w:adjustRightInd/>
        <w:snapToGrid/>
        <w:spacing w:beforeAutospacing="0" w:afterAutospacing="0" w:line="600" w:lineRule="exact"/>
        <w:ind w:firstLine="643" w:firstLineChars="200"/>
        <w:jc w:val="both"/>
        <w:textAlignment w:val="auto"/>
        <w:rPr>
          <w:rStyle w:val="8"/>
          <w:rFonts w:hint="default" w:ascii="Times New Roman" w:hAnsi="Times New Roman" w:eastAsia="仿宋_GB2312" w:cs="Times New Roman"/>
          <w:b w:val="0"/>
          <w:bCs w:val="0"/>
          <w:i w:val="0"/>
          <w:iCs w:val="0"/>
          <w:caps w:val="0"/>
          <w:color w:val="000000"/>
          <w:spacing w:val="0"/>
          <w:sz w:val="32"/>
          <w:szCs w:val="32"/>
          <w:highlight w:val="none"/>
          <w:shd w:val="clear" w:color="0C0000" w:fill="FFFFFF"/>
          <w:lang w:val="en-US" w:eastAsia="zh-CN"/>
        </w:rPr>
      </w:pPr>
      <w:r>
        <w:rPr>
          <w:rFonts w:hint="default" w:ascii="Times New Roman" w:hAnsi="Times New Roman" w:eastAsia="楷体_GB2312" w:cs="Times New Roman"/>
          <w:b/>
          <w:bCs/>
          <w:i w:val="0"/>
          <w:iCs w:val="0"/>
          <w:caps w:val="0"/>
          <w:color w:val="000000"/>
          <w:spacing w:val="0"/>
          <w:sz w:val="32"/>
          <w:szCs w:val="32"/>
          <w:highlight w:val="none"/>
          <w:shd w:val="clear" w:color="0B0000" w:fill="FFFFFF"/>
          <w:lang w:val="en-US" w:eastAsia="zh-CN"/>
        </w:rPr>
        <w:t>18、支持工业战略性新兴产业扩大规模。</w:t>
      </w:r>
      <w:r>
        <w:rPr>
          <w:rStyle w:val="8"/>
          <w:rFonts w:hint="default" w:ascii="Times New Roman" w:hAnsi="Times New Roman" w:eastAsia="仿宋_GB2312" w:cs="Times New Roman"/>
          <w:b w:val="0"/>
          <w:bCs w:val="0"/>
          <w:i w:val="0"/>
          <w:iCs w:val="0"/>
          <w:caps w:val="0"/>
          <w:color w:val="000000"/>
          <w:spacing w:val="0"/>
          <w:sz w:val="32"/>
          <w:szCs w:val="32"/>
          <w:highlight w:val="none"/>
          <w:shd w:val="clear" w:color="0C0000" w:fill="FFFFFF"/>
          <w:lang w:val="en-US" w:eastAsia="zh-CN"/>
        </w:rPr>
        <w:t>战略性新兴产业企业当季止累计增加值增速</w:t>
      </w:r>
      <w:r>
        <w:rPr>
          <w:rStyle w:val="8"/>
          <w:rFonts w:hint="eastAsia" w:ascii="Times New Roman" w:hAnsi="Times New Roman" w:eastAsia="仿宋_GB2312" w:cs="Times New Roman"/>
          <w:b w:val="0"/>
          <w:bCs w:val="0"/>
          <w:i w:val="0"/>
          <w:iCs w:val="0"/>
          <w:caps w:val="0"/>
          <w:color w:val="000000"/>
          <w:spacing w:val="0"/>
          <w:sz w:val="32"/>
          <w:szCs w:val="32"/>
          <w:highlight w:val="none"/>
          <w:shd w:val="clear" w:color="0C0000" w:fill="FFFFFF"/>
          <w:lang w:val="en-US" w:eastAsia="zh-CN"/>
        </w:rPr>
        <w:t>达到15%及以上</w:t>
      </w:r>
      <w:r>
        <w:rPr>
          <w:rStyle w:val="8"/>
          <w:rFonts w:hint="default" w:ascii="Times New Roman" w:hAnsi="Times New Roman" w:eastAsia="仿宋_GB2312" w:cs="Times New Roman"/>
          <w:b w:val="0"/>
          <w:bCs w:val="0"/>
          <w:i w:val="0"/>
          <w:iCs w:val="0"/>
          <w:caps w:val="0"/>
          <w:color w:val="000000"/>
          <w:spacing w:val="0"/>
          <w:sz w:val="32"/>
          <w:szCs w:val="32"/>
          <w:highlight w:val="none"/>
          <w:shd w:val="clear" w:color="0C0000" w:fill="FFFFFF"/>
          <w:lang w:val="en-US" w:eastAsia="zh-CN"/>
        </w:rPr>
        <w:t>，当季给予一次性3万元奖励。2022年度“规上”工业企业产品新纳入战略新兴产业统计入库目录后，给予一次性10万元奖励。</w:t>
      </w:r>
      <w:r>
        <w:rPr>
          <w:rFonts w:hint="default" w:ascii="Times New Roman" w:hAnsi="Times New Roman" w:eastAsia="仿宋_GB2312" w:cs="Times New Roman"/>
          <w:b w:val="0"/>
          <w:bCs w:val="0"/>
          <w:i w:val="0"/>
          <w:iCs w:val="0"/>
          <w:caps w:val="0"/>
          <w:color w:val="000000"/>
          <w:spacing w:val="0"/>
          <w:sz w:val="32"/>
          <w:szCs w:val="32"/>
          <w:highlight w:val="none"/>
          <w:shd w:val="clear" w:color="0B0000" w:fill="FFFFFF"/>
          <w:lang w:val="en-US" w:eastAsia="zh-CN"/>
        </w:rPr>
        <w:t>（</w:t>
      </w:r>
      <w:r>
        <w:rPr>
          <w:rFonts w:hint="default" w:ascii="Times New Roman" w:hAnsi="Times New Roman" w:eastAsia="楷体_GB2312" w:cs="Times New Roman"/>
          <w:b w:val="0"/>
          <w:bCs w:val="0"/>
          <w:i w:val="0"/>
          <w:iCs w:val="0"/>
          <w:caps w:val="0"/>
          <w:color w:val="000000"/>
          <w:spacing w:val="0"/>
          <w:kern w:val="0"/>
          <w:sz w:val="32"/>
          <w:szCs w:val="32"/>
          <w:highlight w:val="none"/>
          <w:shd w:val="clear" w:color="0C0000" w:fill="FFFFFF"/>
          <w:lang w:val="en-US" w:eastAsia="zh-CN"/>
        </w:rPr>
        <w:t>责任单位：区工信局）</w:t>
      </w:r>
    </w:p>
    <w:p>
      <w:pPr>
        <w:wordWrap/>
        <w:adjustRightInd/>
        <w:snapToGrid/>
        <w:spacing w:beforeAutospacing="0" w:afterAutospacing="0" w:line="600" w:lineRule="exact"/>
        <w:ind w:firstLine="643" w:firstLineChars="200"/>
        <w:jc w:val="both"/>
        <w:textAlignment w:val="auto"/>
        <w:rPr>
          <w:rStyle w:val="8"/>
          <w:rFonts w:hint="default" w:ascii="Times New Roman" w:hAnsi="Times New Roman" w:eastAsia="仿宋_GB2312" w:cs="Times New Roman"/>
          <w:b w:val="0"/>
          <w:bCs w:val="0"/>
          <w:i w:val="0"/>
          <w:iCs w:val="0"/>
          <w:caps w:val="0"/>
          <w:color w:val="000000"/>
          <w:spacing w:val="0"/>
          <w:sz w:val="32"/>
          <w:szCs w:val="32"/>
          <w:highlight w:val="none"/>
          <w:shd w:val="clear" w:color="0C0000" w:fill="FFFFFF"/>
          <w:lang w:val="en-US" w:eastAsia="zh-CN"/>
        </w:rPr>
      </w:pPr>
      <w:r>
        <w:rPr>
          <w:rStyle w:val="8"/>
          <w:rFonts w:hint="default" w:ascii="Times New Roman" w:hAnsi="Times New Roman" w:eastAsia="仿宋_GB2312" w:cs="Times New Roman"/>
          <w:b/>
          <w:bCs/>
          <w:i w:val="0"/>
          <w:iCs w:val="0"/>
          <w:caps w:val="0"/>
          <w:color w:val="000000"/>
          <w:spacing w:val="0"/>
          <w:sz w:val="32"/>
          <w:szCs w:val="32"/>
          <w:highlight w:val="none"/>
          <w:shd w:val="clear" w:color="0C0000" w:fill="FFFFFF"/>
          <w:lang w:val="en-US" w:eastAsia="zh-CN"/>
        </w:rPr>
        <w:t>19、助力建筑业健康发展。</w:t>
      </w:r>
      <w:r>
        <w:rPr>
          <w:rStyle w:val="8"/>
          <w:rFonts w:hint="default" w:ascii="Times New Roman" w:hAnsi="Times New Roman" w:eastAsia="仿宋_GB2312" w:cs="Times New Roman"/>
          <w:b w:val="0"/>
          <w:bCs w:val="0"/>
          <w:i w:val="0"/>
          <w:iCs w:val="0"/>
          <w:caps w:val="0"/>
          <w:color w:val="000000"/>
          <w:spacing w:val="0"/>
          <w:sz w:val="32"/>
          <w:szCs w:val="32"/>
          <w:highlight w:val="none"/>
          <w:shd w:val="clear" w:color="0C0000" w:fill="FFFFFF"/>
          <w:lang w:val="en-US" w:eastAsia="zh-CN"/>
        </w:rPr>
        <w:t>建筑业企业当季止累计产值增速达到15%</w:t>
      </w:r>
      <w:r>
        <w:rPr>
          <w:rStyle w:val="8"/>
          <w:rFonts w:hint="eastAsia" w:ascii="Times New Roman" w:hAnsi="Times New Roman" w:eastAsia="仿宋_GB2312" w:cs="Times New Roman"/>
          <w:b w:val="0"/>
          <w:bCs w:val="0"/>
          <w:i w:val="0"/>
          <w:iCs w:val="0"/>
          <w:caps w:val="0"/>
          <w:color w:val="000000"/>
          <w:spacing w:val="0"/>
          <w:sz w:val="32"/>
          <w:szCs w:val="32"/>
          <w:highlight w:val="none"/>
          <w:shd w:val="clear" w:color="0C0000" w:fill="FFFFFF"/>
          <w:lang w:val="en-US" w:eastAsia="zh-CN"/>
        </w:rPr>
        <w:t>及</w:t>
      </w:r>
      <w:r>
        <w:rPr>
          <w:rStyle w:val="8"/>
          <w:rFonts w:hint="default" w:ascii="Times New Roman" w:hAnsi="Times New Roman" w:eastAsia="仿宋_GB2312" w:cs="Times New Roman"/>
          <w:b w:val="0"/>
          <w:bCs w:val="0"/>
          <w:i w:val="0"/>
          <w:iCs w:val="0"/>
          <w:caps w:val="0"/>
          <w:color w:val="000000"/>
          <w:spacing w:val="0"/>
          <w:sz w:val="32"/>
          <w:szCs w:val="32"/>
          <w:highlight w:val="none"/>
          <w:shd w:val="clear" w:color="0C0000" w:fill="FFFFFF"/>
          <w:lang w:val="en-US" w:eastAsia="zh-CN"/>
        </w:rPr>
        <w:t>以上的，且当季产值达到1亿元（含）以上、2亿元</w:t>
      </w:r>
      <w:r>
        <w:rPr>
          <w:rStyle w:val="8"/>
          <w:rFonts w:hint="eastAsia" w:ascii="Times New Roman" w:hAnsi="Times New Roman" w:eastAsia="仿宋_GB2312" w:cs="Times New Roman"/>
          <w:b w:val="0"/>
          <w:bCs w:val="0"/>
          <w:i w:val="0"/>
          <w:iCs w:val="0"/>
          <w:caps w:val="0"/>
          <w:color w:val="000000"/>
          <w:spacing w:val="0"/>
          <w:sz w:val="32"/>
          <w:szCs w:val="32"/>
          <w:highlight w:val="none"/>
          <w:shd w:val="clear" w:color="0C0000" w:fill="FFFFFF"/>
          <w:lang w:val="en-US" w:eastAsia="zh-CN"/>
        </w:rPr>
        <w:t>（</w:t>
      </w:r>
      <w:r>
        <w:rPr>
          <w:rStyle w:val="8"/>
          <w:rFonts w:hint="default" w:ascii="Times New Roman" w:hAnsi="Times New Roman" w:eastAsia="仿宋_GB2312" w:cs="Times New Roman"/>
          <w:b w:val="0"/>
          <w:bCs w:val="0"/>
          <w:i w:val="0"/>
          <w:iCs w:val="0"/>
          <w:caps w:val="0"/>
          <w:color w:val="000000"/>
          <w:spacing w:val="0"/>
          <w:sz w:val="32"/>
          <w:szCs w:val="32"/>
          <w:highlight w:val="none"/>
          <w:shd w:val="clear" w:color="0C0000" w:fill="FFFFFF"/>
          <w:lang w:val="en-US" w:eastAsia="zh-CN"/>
        </w:rPr>
        <w:t>含）以上、5亿元（含）以上、10亿元（含）以上、15亿元（含）以上的，当季分别给予一次性3万元、5万元、10万元、20万元、30万元奖励。（</w:t>
      </w:r>
      <w:r>
        <w:rPr>
          <w:rFonts w:hint="default" w:ascii="Times New Roman" w:hAnsi="Times New Roman" w:eastAsia="楷体_GB2312" w:cs="Times New Roman"/>
          <w:b w:val="0"/>
          <w:bCs w:val="0"/>
          <w:i w:val="0"/>
          <w:iCs w:val="0"/>
          <w:caps w:val="0"/>
          <w:color w:val="000000"/>
          <w:spacing w:val="0"/>
          <w:kern w:val="0"/>
          <w:sz w:val="32"/>
          <w:szCs w:val="32"/>
          <w:highlight w:val="none"/>
          <w:shd w:val="clear" w:color="0C0000" w:fill="FFFFFF"/>
          <w:lang w:val="en-US" w:eastAsia="zh-CN"/>
        </w:rPr>
        <w:t>责任单位：区住建局）</w:t>
      </w:r>
    </w:p>
    <w:p>
      <w:pPr>
        <w:wordWrap/>
        <w:adjustRightInd/>
        <w:snapToGrid/>
        <w:spacing w:beforeAutospacing="0" w:afterAutospacing="0" w:line="600" w:lineRule="exact"/>
        <w:ind w:firstLine="643" w:firstLineChars="200"/>
        <w:jc w:val="both"/>
        <w:textAlignment w:val="auto"/>
        <w:rPr>
          <w:rFonts w:hint="default" w:ascii="Times New Roman" w:hAnsi="Times New Roman" w:eastAsia="仿宋_GB2312" w:cs="Times New Roman"/>
          <w:b w:val="0"/>
          <w:bCs w:val="0"/>
          <w:i w:val="0"/>
          <w:iCs w:val="0"/>
          <w:caps w:val="0"/>
          <w:color w:val="000000"/>
          <w:spacing w:val="0"/>
          <w:sz w:val="32"/>
          <w:szCs w:val="32"/>
          <w:highlight w:val="none"/>
          <w:shd w:val="clear" w:color="0B0000" w:fill="FFFFFF"/>
          <w:lang w:val="en-US" w:eastAsia="zh-CN"/>
        </w:rPr>
      </w:pPr>
      <w:r>
        <w:rPr>
          <w:rStyle w:val="8"/>
          <w:rFonts w:hint="default" w:ascii="Times New Roman" w:hAnsi="Times New Roman" w:eastAsia="楷体_GB2312" w:cs="Times New Roman"/>
          <w:b/>
          <w:bCs/>
          <w:i w:val="0"/>
          <w:iCs w:val="0"/>
          <w:caps w:val="0"/>
          <w:color w:val="000000"/>
          <w:spacing w:val="0"/>
          <w:sz w:val="32"/>
          <w:szCs w:val="32"/>
          <w:highlight w:val="none"/>
          <w:shd w:val="clear" w:color="0C0000" w:fill="FFFFFF"/>
          <w:lang w:val="en-US" w:eastAsia="zh-CN"/>
        </w:rPr>
        <w:t>20、提升专业服务业能级。</w:t>
      </w:r>
      <w:r>
        <w:rPr>
          <w:rStyle w:val="8"/>
          <w:rFonts w:hint="default" w:ascii="Times New Roman" w:hAnsi="Times New Roman" w:eastAsia="仿宋_GB2312" w:cs="Times New Roman"/>
          <w:b w:val="0"/>
          <w:bCs w:val="0"/>
          <w:i w:val="0"/>
          <w:iCs w:val="0"/>
          <w:caps w:val="0"/>
          <w:color w:val="000000"/>
          <w:spacing w:val="0"/>
          <w:sz w:val="32"/>
          <w:szCs w:val="32"/>
          <w:highlight w:val="none"/>
          <w:shd w:val="clear" w:color="0C0000" w:fill="FFFFFF"/>
          <w:lang w:val="en-US" w:eastAsia="zh-CN"/>
        </w:rPr>
        <w:t>“规上”营利性服务业中科学研究和技术服务业，文化、体育和娱乐业、租赁商务服务业、居民修理服务业等专业服务业企业当季累计营收增速</w:t>
      </w:r>
      <w:r>
        <w:rPr>
          <w:rStyle w:val="8"/>
          <w:rFonts w:hint="eastAsia" w:ascii="Times New Roman" w:hAnsi="Times New Roman" w:eastAsia="仿宋_GB2312" w:cs="Times New Roman"/>
          <w:b w:val="0"/>
          <w:bCs w:val="0"/>
          <w:i w:val="0"/>
          <w:iCs w:val="0"/>
          <w:caps w:val="0"/>
          <w:color w:val="000000"/>
          <w:spacing w:val="0"/>
          <w:sz w:val="32"/>
          <w:szCs w:val="32"/>
          <w:highlight w:val="none"/>
          <w:shd w:val="clear" w:color="0C0000" w:fill="FFFFFF"/>
          <w:lang w:val="en-US" w:eastAsia="zh-CN"/>
        </w:rPr>
        <w:t>超过</w:t>
      </w:r>
      <w:r>
        <w:rPr>
          <w:rStyle w:val="8"/>
          <w:rFonts w:hint="default" w:ascii="Times New Roman" w:hAnsi="Times New Roman" w:eastAsia="仿宋_GB2312" w:cs="Times New Roman"/>
          <w:b w:val="0"/>
          <w:bCs w:val="0"/>
          <w:i w:val="0"/>
          <w:iCs w:val="0"/>
          <w:caps w:val="0"/>
          <w:color w:val="000000"/>
          <w:spacing w:val="0"/>
          <w:sz w:val="32"/>
          <w:szCs w:val="32"/>
          <w:highlight w:val="none"/>
          <w:shd w:val="clear" w:color="0C0000" w:fill="FFFFFF"/>
          <w:lang w:val="en-US" w:eastAsia="zh-CN"/>
        </w:rPr>
        <w:t>全区平均水平10个百分点</w:t>
      </w:r>
      <w:r>
        <w:rPr>
          <w:rStyle w:val="8"/>
          <w:rFonts w:hint="eastAsia" w:ascii="Times New Roman" w:hAnsi="Times New Roman" w:eastAsia="仿宋_GB2312" w:cs="Times New Roman"/>
          <w:b w:val="0"/>
          <w:bCs w:val="0"/>
          <w:i w:val="0"/>
          <w:iCs w:val="0"/>
          <w:caps w:val="0"/>
          <w:color w:val="000000"/>
          <w:spacing w:val="0"/>
          <w:sz w:val="32"/>
          <w:szCs w:val="32"/>
          <w:highlight w:val="none"/>
          <w:shd w:val="clear" w:color="0C0000" w:fill="FFFFFF"/>
          <w:lang w:val="en-US" w:eastAsia="zh-CN"/>
        </w:rPr>
        <w:t>及以上</w:t>
      </w:r>
      <w:r>
        <w:rPr>
          <w:rStyle w:val="8"/>
          <w:rFonts w:hint="default" w:ascii="Times New Roman" w:hAnsi="Times New Roman" w:eastAsia="仿宋_GB2312" w:cs="Times New Roman"/>
          <w:b w:val="0"/>
          <w:bCs w:val="0"/>
          <w:i w:val="0"/>
          <w:iCs w:val="0"/>
          <w:caps w:val="0"/>
          <w:color w:val="000000"/>
          <w:spacing w:val="0"/>
          <w:sz w:val="32"/>
          <w:szCs w:val="32"/>
          <w:highlight w:val="none"/>
          <w:shd w:val="clear" w:color="0C0000" w:fill="FFFFFF"/>
          <w:lang w:val="en-US" w:eastAsia="zh-CN"/>
        </w:rPr>
        <w:t>，且当季营收分别达到2000万元（含）以上，5000万元（含）以上、1亿元（含）以上的，当季分别给予一次性5万元、10万元、20万元奖励。</w:t>
      </w:r>
      <w:r>
        <w:rPr>
          <w:rFonts w:hint="default" w:ascii="Times New Roman" w:hAnsi="Times New Roman" w:eastAsia="楷体_GB2312" w:cs="Times New Roman"/>
          <w:b w:val="0"/>
          <w:bCs w:val="0"/>
          <w:i w:val="0"/>
          <w:iCs w:val="0"/>
          <w:caps w:val="0"/>
          <w:color w:val="000000"/>
          <w:spacing w:val="0"/>
          <w:kern w:val="0"/>
          <w:sz w:val="32"/>
          <w:szCs w:val="32"/>
          <w:highlight w:val="none"/>
          <w:shd w:val="clear" w:color="0C0000" w:fill="FFFFFF"/>
          <w:lang w:val="en-US" w:eastAsia="zh-CN"/>
        </w:rPr>
        <w:t>（责任单位：区直相关职能部门）</w:t>
      </w:r>
    </w:p>
    <w:p>
      <w:pPr>
        <w:pStyle w:val="6"/>
        <w:widowControl/>
        <w:numPr>
          <w:numId w:val="0"/>
        </w:numPr>
        <w:pBdr>
          <w:top w:val="none" w:color="auto" w:sz="0" w:space="0"/>
          <w:left w:val="none" w:color="auto" w:sz="0" w:space="0"/>
          <w:bottom w:val="none" w:color="auto" w:sz="0" w:space="0"/>
          <w:right w:val="none" w:color="auto" w:sz="0" w:space="0"/>
        </w:pBdr>
        <w:wordWrap/>
        <w:adjustRightInd/>
        <w:snapToGrid/>
        <w:spacing w:before="0" w:beforeAutospacing="0" w:after="0" w:afterAutospacing="0" w:line="600" w:lineRule="exact"/>
        <w:ind w:right="0" w:firstLine="643" w:firstLineChars="200"/>
        <w:jc w:val="both"/>
        <w:textAlignment w:val="auto"/>
        <w:rPr>
          <w:rStyle w:val="8"/>
          <w:rFonts w:hint="default" w:ascii="Times New Roman" w:hAnsi="Times New Roman" w:eastAsia="仿宋_GB2312" w:cs="Times New Roman"/>
          <w:b w:val="0"/>
          <w:bCs w:val="0"/>
          <w:i w:val="0"/>
          <w:iCs w:val="0"/>
          <w:caps w:val="0"/>
          <w:color w:val="000000"/>
          <w:spacing w:val="0"/>
          <w:sz w:val="32"/>
          <w:szCs w:val="32"/>
          <w:highlight w:val="none"/>
          <w:shd w:val="clear" w:color="0C0000" w:fill="FFFFFF"/>
          <w:lang w:val="en-US" w:eastAsia="zh-CN"/>
        </w:rPr>
      </w:pPr>
      <w:r>
        <w:rPr>
          <w:rStyle w:val="8"/>
          <w:rFonts w:hint="default" w:ascii="Times New Roman" w:hAnsi="Times New Roman" w:eastAsia="楷体_GB2312" w:cs="Times New Roman"/>
          <w:b/>
          <w:bCs/>
          <w:i w:val="0"/>
          <w:iCs w:val="0"/>
          <w:caps w:val="0"/>
          <w:color w:val="000000"/>
          <w:spacing w:val="0"/>
          <w:sz w:val="32"/>
          <w:szCs w:val="32"/>
          <w:highlight w:val="none"/>
          <w:shd w:val="clear" w:color="0C0000" w:fill="FFFFFF"/>
          <w:lang w:val="en-US" w:eastAsia="zh-CN"/>
        </w:rPr>
        <w:t>21、全面加力“扩内需、促消费”。</w:t>
      </w:r>
      <w:r>
        <w:rPr>
          <w:rStyle w:val="8"/>
          <w:rFonts w:hint="default" w:ascii="Times New Roman" w:hAnsi="Times New Roman" w:eastAsia="仿宋_GB2312" w:cs="Times New Roman"/>
          <w:b w:val="0"/>
          <w:bCs w:val="0"/>
          <w:i w:val="0"/>
          <w:iCs w:val="0"/>
          <w:caps w:val="0"/>
          <w:color w:val="000000"/>
          <w:spacing w:val="0"/>
          <w:sz w:val="32"/>
          <w:szCs w:val="32"/>
          <w:highlight w:val="none"/>
          <w:shd w:val="clear" w:color="0C0000" w:fill="FFFFFF"/>
          <w:lang w:val="en-US" w:eastAsia="zh-CN"/>
        </w:rPr>
        <w:t>“限额以上”批发零售业企业当季止累计营业额增速超过全区平均水平15个百分点</w:t>
      </w:r>
      <w:r>
        <w:rPr>
          <w:rStyle w:val="8"/>
          <w:rFonts w:hint="eastAsia" w:ascii="Times New Roman" w:hAnsi="Times New Roman" w:eastAsia="仿宋_GB2312" w:cs="Times New Roman"/>
          <w:b w:val="0"/>
          <w:bCs w:val="0"/>
          <w:i w:val="0"/>
          <w:iCs w:val="0"/>
          <w:caps w:val="0"/>
          <w:color w:val="000000"/>
          <w:spacing w:val="0"/>
          <w:sz w:val="32"/>
          <w:szCs w:val="32"/>
          <w:highlight w:val="none"/>
          <w:shd w:val="clear" w:color="0C0000" w:fill="FFFFFF"/>
          <w:lang w:val="en-US" w:eastAsia="zh-CN"/>
        </w:rPr>
        <w:t>及</w:t>
      </w:r>
      <w:r>
        <w:rPr>
          <w:rStyle w:val="8"/>
          <w:rFonts w:hint="default" w:ascii="Times New Roman" w:hAnsi="Times New Roman" w:eastAsia="仿宋_GB2312" w:cs="Times New Roman"/>
          <w:b w:val="0"/>
          <w:bCs w:val="0"/>
          <w:i w:val="0"/>
          <w:iCs w:val="0"/>
          <w:caps w:val="0"/>
          <w:color w:val="000000"/>
          <w:spacing w:val="0"/>
          <w:sz w:val="32"/>
          <w:szCs w:val="32"/>
          <w:highlight w:val="none"/>
          <w:shd w:val="clear" w:color="0C0000" w:fill="FFFFFF"/>
          <w:lang w:val="en-US" w:eastAsia="zh-CN"/>
        </w:rPr>
        <w:t>以上，且当季营业额达到</w:t>
      </w:r>
      <w:r>
        <w:rPr>
          <w:rStyle w:val="8"/>
          <w:rFonts w:hint="eastAsia" w:ascii="Times New Roman" w:hAnsi="Times New Roman" w:eastAsia="仿宋_GB2312" w:cs="Times New Roman"/>
          <w:b w:val="0"/>
          <w:bCs w:val="0"/>
          <w:i w:val="0"/>
          <w:iCs w:val="0"/>
          <w:caps w:val="0"/>
          <w:color w:val="000000"/>
          <w:spacing w:val="0"/>
          <w:sz w:val="32"/>
          <w:szCs w:val="32"/>
          <w:highlight w:val="none"/>
          <w:shd w:val="clear" w:color="0C0000" w:fill="FFFFFF"/>
          <w:lang w:val="en-US" w:eastAsia="zh-CN"/>
        </w:rPr>
        <w:t>2000万元（含）以上、</w:t>
      </w:r>
      <w:r>
        <w:rPr>
          <w:rStyle w:val="8"/>
          <w:rFonts w:hint="default" w:ascii="Times New Roman" w:hAnsi="Times New Roman" w:eastAsia="仿宋_GB2312" w:cs="Times New Roman"/>
          <w:b w:val="0"/>
          <w:bCs w:val="0"/>
          <w:i w:val="0"/>
          <w:iCs w:val="0"/>
          <w:caps w:val="0"/>
          <w:color w:val="000000"/>
          <w:spacing w:val="0"/>
          <w:sz w:val="32"/>
          <w:szCs w:val="32"/>
          <w:highlight w:val="none"/>
          <w:shd w:val="clear" w:color="0C0000" w:fill="FFFFFF"/>
          <w:lang w:val="en-US" w:eastAsia="zh-CN"/>
        </w:rPr>
        <w:t>5000万元（含）以上、1亿元（含）以上、</w:t>
      </w:r>
      <w:r>
        <w:rPr>
          <w:rStyle w:val="8"/>
          <w:rFonts w:hint="eastAsia" w:ascii="Times New Roman" w:hAnsi="Times New Roman" w:eastAsia="仿宋_GB2312" w:cs="Times New Roman"/>
          <w:b w:val="0"/>
          <w:bCs w:val="0"/>
          <w:i w:val="0"/>
          <w:iCs w:val="0"/>
          <w:caps w:val="0"/>
          <w:color w:val="000000"/>
          <w:spacing w:val="0"/>
          <w:sz w:val="32"/>
          <w:szCs w:val="32"/>
          <w:highlight w:val="none"/>
          <w:shd w:val="clear" w:color="0C0000" w:fill="FFFFFF"/>
          <w:lang w:val="en-US" w:eastAsia="zh-CN"/>
        </w:rPr>
        <w:t>2</w:t>
      </w:r>
      <w:r>
        <w:rPr>
          <w:rStyle w:val="8"/>
          <w:rFonts w:hint="default" w:ascii="Times New Roman" w:hAnsi="Times New Roman" w:eastAsia="仿宋_GB2312" w:cs="Times New Roman"/>
          <w:b w:val="0"/>
          <w:bCs w:val="0"/>
          <w:i w:val="0"/>
          <w:iCs w:val="0"/>
          <w:caps w:val="0"/>
          <w:color w:val="000000"/>
          <w:spacing w:val="0"/>
          <w:sz w:val="32"/>
          <w:szCs w:val="32"/>
          <w:highlight w:val="none"/>
          <w:shd w:val="clear" w:color="0C0000" w:fill="FFFFFF"/>
          <w:lang w:val="en-US" w:eastAsia="zh-CN"/>
        </w:rPr>
        <w:t>亿元（含）以上的，当季分别给予一次性5万元、10万元、</w:t>
      </w:r>
      <w:r>
        <w:rPr>
          <w:rStyle w:val="8"/>
          <w:rFonts w:hint="eastAsia" w:ascii="Times New Roman" w:hAnsi="Times New Roman" w:eastAsia="仿宋_GB2312" w:cs="Times New Roman"/>
          <w:b w:val="0"/>
          <w:bCs w:val="0"/>
          <w:i w:val="0"/>
          <w:iCs w:val="0"/>
          <w:caps w:val="0"/>
          <w:color w:val="000000"/>
          <w:spacing w:val="0"/>
          <w:sz w:val="32"/>
          <w:szCs w:val="32"/>
          <w:highlight w:val="none"/>
          <w:shd w:val="clear" w:color="0C0000" w:fill="FFFFFF"/>
          <w:lang w:val="en-US" w:eastAsia="zh-CN"/>
        </w:rPr>
        <w:t>15万元、</w:t>
      </w:r>
      <w:r>
        <w:rPr>
          <w:rStyle w:val="8"/>
          <w:rFonts w:hint="default" w:ascii="Times New Roman" w:hAnsi="Times New Roman" w:eastAsia="仿宋_GB2312" w:cs="Times New Roman"/>
          <w:b w:val="0"/>
          <w:bCs w:val="0"/>
          <w:i w:val="0"/>
          <w:iCs w:val="0"/>
          <w:caps w:val="0"/>
          <w:color w:val="000000"/>
          <w:spacing w:val="0"/>
          <w:sz w:val="32"/>
          <w:szCs w:val="32"/>
          <w:highlight w:val="none"/>
          <w:shd w:val="clear" w:color="0C0000" w:fill="FFFFFF"/>
          <w:lang w:val="en-US" w:eastAsia="zh-CN"/>
        </w:rPr>
        <w:t>20万元奖励。</w:t>
      </w:r>
    </w:p>
    <w:p>
      <w:pPr>
        <w:wordWrap/>
        <w:adjustRightInd/>
        <w:snapToGrid/>
        <w:spacing w:line="600" w:lineRule="exact"/>
        <w:ind w:firstLine="640" w:firstLineChars="200"/>
        <w:textAlignment w:val="auto"/>
        <w:rPr>
          <w:rStyle w:val="8"/>
          <w:rFonts w:hint="default" w:ascii="Times New Roman" w:hAnsi="Times New Roman" w:eastAsia="仿宋_GB2312" w:cs="Times New Roman"/>
          <w:b w:val="0"/>
          <w:bCs w:val="0"/>
          <w:i w:val="0"/>
          <w:iCs w:val="0"/>
          <w:caps w:val="0"/>
          <w:color w:val="000000"/>
          <w:spacing w:val="0"/>
          <w:sz w:val="32"/>
          <w:szCs w:val="32"/>
          <w:highlight w:val="none"/>
          <w:shd w:val="clear" w:color="0C0000" w:fill="FFFFFF"/>
          <w:lang w:val="en-US" w:eastAsia="zh-CN"/>
        </w:rPr>
      </w:pPr>
      <w:r>
        <w:rPr>
          <w:rStyle w:val="8"/>
          <w:rFonts w:hint="default" w:ascii="Times New Roman" w:hAnsi="Times New Roman" w:eastAsia="仿宋_GB2312" w:cs="Times New Roman"/>
          <w:b w:val="0"/>
          <w:bCs w:val="0"/>
          <w:i w:val="0"/>
          <w:iCs w:val="0"/>
          <w:caps w:val="0"/>
          <w:color w:val="000000"/>
          <w:spacing w:val="0"/>
          <w:sz w:val="32"/>
          <w:szCs w:val="32"/>
          <w:highlight w:val="none"/>
          <w:shd w:val="clear" w:color="0C0000" w:fill="FFFFFF"/>
          <w:lang w:val="en-US" w:eastAsia="zh-CN"/>
        </w:rPr>
        <w:t>“限额以上”住宿餐饮业企业当季止累计营业额增速超过全区平均水平15个百分点</w:t>
      </w:r>
      <w:r>
        <w:rPr>
          <w:rStyle w:val="8"/>
          <w:rFonts w:hint="eastAsia" w:ascii="Times New Roman" w:hAnsi="Times New Roman" w:eastAsia="仿宋_GB2312" w:cs="Times New Roman"/>
          <w:b w:val="0"/>
          <w:bCs w:val="0"/>
          <w:i w:val="0"/>
          <w:iCs w:val="0"/>
          <w:caps w:val="0"/>
          <w:color w:val="000000"/>
          <w:spacing w:val="0"/>
          <w:sz w:val="32"/>
          <w:szCs w:val="32"/>
          <w:highlight w:val="none"/>
          <w:shd w:val="clear" w:color="0C0000" w:fill="FFFFFF"/>
          <w:lang w:val="en-US" w:eastAsia="zh-CN"/>
        </w:rPr>
        <w:t>及</w:t>
      </w:r>
      <w:r>
        <w:rPr>
          <w:rStyle w:val="8"/>
          <w:rFonts w:hint="default" w:ascii="Times New Roman" w:hAnsi="Times New Roman" w:eastAsia="仿宋_GB2312" w:cs="Times New Roman"/>
          <w:b w:val="0"/>
          <w:bCs w:val="0"/>
          <w:i w:val="0"/>
          <w:iCs w:val="0"/>
          <w:caps w:val="0"/>
          <w:color w:val="000000"/>
          <w:spacing w:val="0"/>
          <w:sz w:val="32"/>
          <w:szCs w:val="32"/>
          <w:highlight w:val="none"/>
          <w:shd w:val="clear" w:color="0C0000" w:fill="FFFFFF"/>
          <w:lang w:val="en-US" w:eastAsia="zh-CN"/>
        </w:rPr>
        <w:t>以上，且当季营业额达到500万元（含）以上、1000万元（含）以上、1500万元（含）以上的，当季分别给予一次性</w:t>
      </w:r>
      <w:r>
        <w:rPr>
          <w:rStyle w:val="8"/>
          <w:rFonts w:hint="eastAsia" w:ascii="Times New Roman" w:hAnsi="Times New Roman" w:eastAsia="仿宋_GB2312" w:cs="Times New Roman"/>
          <w:b w:val="0"/>
          <w:bCs w:val="0"/>
          <w:i w:val="0"/>
          <w:iCs w:val="0"/>
          <w:caps w:val="0"/>
          <w:color w:val="000000"/>
          <w:spacing w:val="0"/>
          <w:sz w:val="32"/>
          <w:szCs w:val="32"/>
          <w:highlight w:val="none"/>
          <w:shd w:val="clear" w:color="0C0000" w:fill="FFFFFF"/>
          <w:lang w:val="en-US" w:eastAsia="zh-CN"/>
        </w:rPr>
        <w:t>2</w:t>
      </w:r>
      <w:r>
        <w:rPr>
          <w:rStyle w:val="8"/>
          <w:rFonts w:hint="default" w:ascii="Times New Roman" w:hAnsi="Times New Roman" w:eastAsia="仿宋_GB2312" w:cs="Times New Roman"/>
          <w:b w:val="0"/>
          <w:bCs w:val="0"/>
          <w:i w:val="0"/>
          <w:iCs w:val="0"/>
          <w:caps w:val="0"/>
          <w:color w:val="000000"/>
          <w:spacing w:val="0"/>
          <w:sz w:val="32"/>
          <w:szCs w:val="32"/>
          <w:highlight w:val="none"/>
          <w:shd w:val="clear" w:color="0C0000" w:fill="FFFFFF"/>
          <w:lang w:val="en-US" w:eastAsia="zh-CN"/>
        </w:rPr>
        <w:t>万元、</w:t>
      </w:r>
      <w:r>
        <w:rPr>
          <w:rStyle w:val="8"/>
          <w:rFonts w:hint="eastAsia" w:ascii="Times New Roman" w:hAnsi="Times New Roman" w:eastAsia="仿宋_GB2312" w:cs="Times New Roman"/>
          <w:b w:val="0"/>
          <w:bCs w:val="0"/>
          <w:i w:val="0"/>
          <w:iCs w:val="0"/>
          <w:caps w:val="0"/>
          <w:color w:val="000000"/>
          <w:spacing w:val="0"/>
          <w:sz w:val="32"/>
          <w:szCs w:val="32"/>
          <w:highlight w:val="none"/>
          <w:shd w:val="clear" w:color="0C0000" w:fill="FFFFFF"/>
          <w:lang w:val="en-US" w:eastAsia="zh-CN"/>
        </w:rPr>
        <w:t>4</w:t>
      </w:r>
      <w:r>
        <w:rPr>
          <w:rStyle w:val="8"/>
          <w:rFonts w:hint="default" w:ascii="Times New Roman" w:hAnsi="Times New Roman" w:eastAsia="仿宋_GB2312" w:cs="Times New Roman"/>
          <w:b w:val="0"/>
          <w:bCs w:val="0"/>
          <w:i w:val="0"/>
          <w:iCs w:val="0"/>
          <w:caps w:val="0"/>
          <w:color w:val="000000"/>
          <w:spacing w:val="0"/>
          <w:sz w:val="32"/>
          <w:szCs w:val="32"/>
          <w:highlight w:val="none"/>
          <w:shd w:val="clear" w:color="0C0000" w:fill="FFFFFF"/>
          <w:lang w:val="en-US" w:eastAsia="zh-CN"/>
        </w:rPr>
        <w:t>万元、</w:t>
      </w:r>
      <w:r>
        <w:rPr>
          <w:rStyle w:val="8"/>
          <w:rFonts w:hint="eastAsia" w:ascii="Times New Roman" w:hAnsi="Times New Roman" w:eastAsia="仿宋_GB2312" w:cs="Times New Roman"/>
          <w:b w:val="0"/>
          <w:bCs w:val="0"/>
          <w:i w:val="0"/>
          <w:iCs w:val="0"/>
          <w:caps w:val="0"/>
          <w:color w:val="000000"/>
          <w:spacing w:val="0"/>
          <w:sz w:val="32"/>
          <w:szCs w:val="32"/>
          <w:highlight w:val="none"/>
          <w:shd w:val="clear" w:color="0C0000" w:fill="FFFFFF"/>
          <w:lang w:val="en-US" w:eastAsia="zh-CN"/>
        </w:rPr>
        <w:t>6</w:t>
      </w:r>
      <w:r>
        <w:rPr>
          <w:rStyle w:val="8"/>
          <w:rFonts w:hint="default" w:ascii="Times New Roman" w:hAnsi="Times New Roman" w:eastAsia="仿宋_GB2312" w:cs="Times New Roman"/>
          <w:b w:val="0"/>
          <w:bCs w:val="0"/>
          <w:i w:val="0"/>
          <w:iCs w:val="0"/>
          <w:caps w:val="0"/>
          <w:color w:val="000000"/>
          <w:spacing w:val="0"/>
          <w:sz w:val="32"/>
          <w:szCs w:val="32"/>
          <w:highlight w:val="none"/>
          <w:shd w:val="clear" w:color="0C0000" w:fill="FFFFFF"/>
          <w:lang w:val="en-US" w:eastAsia="zh-CN"/>
        </w:rPr>
        <w:t>万元奖励。</w:t>
      </w:r>
    </w:p>
    <w:p>
      <w:pPr>
        <w:wordWrap/>
        <w:adjustRightInd/>
        <w:snapToGrid/>
        <w:spacing w:line="600" w:lineRule="exact"/>
        <w:ind w:firstLine="640" w:firstLineChars="200"/>
        <w:textAlignment w:val="auto"/>
        <w:rPr>
          <w:rStyle w:val="8"/>
          <w:rFonts w:hint="default" w:ascii="Times New Roman" w:hAnsi="Times New Roman" w:eastAsia="仿宋_GB2312" w:cs="Times New Roman"/>
          <w:b w:val="0"/>
          <w:bCs w:val="0"/>
          <w:i w:val="0"/>
          <w:iCs w:val="0"/>
          <w:caps w:val="0"/>
          <w:color w:val="000000"/>
          <w:spacing w:val="0"/>
          <w:sz w:val="32"/>
          <w:szCs w:val="32"/>
          <w:highlight w:val="none"/>
          <w:shd w:val="clear" w:color="0C0000" w:fill="FFFFFF"/>
          <w:lang w:val="en-US" w:eastAsia="zh-CN"/>
        </w:rPr>
      </w:pPr>
      <w:r>
        <w:rPr>
          <w:rStyle w:val="8"/>
          <w:rFonts w:hint="default" w:ascii="Times New Roman" w:hAnsi="Times New Roman" w:eastAsia="仿宋_GB2312" w:cs="Times New Roman"/>
          <w:b w:val="0"/>
          <w:bCs w:val="0"/>
          <w:i w:val="0"/>
          <w:iCs w:val="0"/>
          <w:caps w:val="0"/>
          <w:color w:val="000000"/>
          <w:spacing w:val="0"/>
          <w:sz w:val="32"/>
          <w:szCs w:val="32"/>
          <w:highlight w:val="none"/>
          <w:shd w:val="clear" w:color="0C0000" w:fill="FFFFFF"/>
          <w:lang w:val="en-US" w:eastAsia="zh-CN"/>
        </w:rPr>
        <w:t>鼓励商业综合体、大市（卖）场业主（运营管理机构）由商务租赁服务业企业转型为贸易类企业，对实现50%、70%、90%以上商户统一核算后，分别给予一次性50万元、70万元、100万元奖励，并根据当年区级经济发展贡献研</w:t>
      </w:r>
      <w:r>
        <w:rPr>
          <w:rFonts w:hint="default" w:ascii="Times New Roman" w:hAnsi="Times New Roman" w:eastAsia="仿宋_GB2312" w:cs="Times New Roman"/>
          <w:i w:val="0"/>
          <w:iCs w:val="0"/>
          <w:caps w:val="0"/>
          <w:color w:val="000000"/>
          <w:spacing w:val="0"/>
          <w:sz w:val="32"/>
          <w:szCs w:val="32"/>
          <w:highlight w:val="none"/>
          <w:shd w:val="clear" w:color="090000" w:fill="FFFFFF"/>
          <w:lang w:val="en-US" w:eastAsia="zh-CN"/>
        </w:rPr>
        <w:t>究制定专项奖励扶持政策。</w:t>
      </w:r>
      <w:r>
        <w:rPr>
          <w:rFonts w:hint="default" w:ascii="Times New Roman" w:hAnsi="Times New Roman" w:eastAsia="仿宋_GB2312" w:cs="Times New Roman"/>
          <w:b w:val="0"/>
          <w:bCs w:val="0"/>
          <w:i w:val="0"/>
          <w:iCs w:val="0"/>
          <w:caps w:val="0"/>
          <w:color w:val="000000"/>
          <w:spacing w:val="0"/>
          <w:sz w:val="32"/>
          <w:szCs w:val="32"/>
          <w:highlight w:val="none"/>
          <w:shd w:val="clear" w:color="0B0000" w:fill="FFFFFF"/>
          <w:lang w:val="en-US" w:eastAsia="zh-CN"/>
        </w:rPr>
        <w:t>（</w:t>
      </w:r>
      <w:r>
        <w:rPr>
          <w:rFonts w:hint="default" w:ascii="Times New Roman" w:hAnsi="Times New Roman" w:eastAsia="楷体_GB2312" w:cs="Times New Roman"/>
          <w:b w:val="0"/>
          <w:bCs w:val="0"/>
          <w:i w:val="0"/>
          <w:iCs w:val="0"/>
          <w:caps w:val="0"/>
          <w:color w:val="000000"/>
          <w:spacing w:val="0"/>
          <w:kern w:val="0"/>
          <w:sz w:val="32"/>
          <w:szCs w:val="32"/>
          <w:highlight w:val="none"/>
          <w:shd w:val="clear" w:color="0C0000" w:fill="FFFFFF"/>
          <w:lang w:val="en-US" w:eastAsia="zh-CN"/>
        </w:rPr>
        <w:t>责任单位：区商务局）</w:t>
      </w:r>
    </w:p>
    <w:p>
      <w:pPr>
        <w:pStyle w:val="6"/>
        <w:widowControl/>
        <w:numPr>
          <w:ilvl w:val="0"/>
          <w:numId w:val="2"/>
        </w:numPr>
        <w:pBdr>
          <w:top w:val="none" w:color="auto" w:sz="0" w:space="0"/>
          <w:left w:val="none" w:color="auto" w:sz="0" w:space="0"/>
          <w:bottom w:val="none" w:color="auto" w:sz="0" w:space="0"/>
          <w:right w:val="none" w:color="auto" w:sz="0" w:space="0"/>
        </w:pBdr>
        <w:wordWrap/>
        <w:adjustRightInd/>
        <w:snapToGrid/>
        <w:spacing w:before="0" w:beforeAutospacing="0" w:after="0" w:afterAutospacing="0" w:line="600" w:lineRule="exact"/>
        <w:ind w:leftChars="200" w:right="0" w:firstLine="320" w:firstLineChars="100"/>
        <w:jc w:val="both"/>
        <w:textAlignment w:val="auto"/>
        <w:rPr>
          <w:rStyle w:val="8"/>
          <w:rFonts w:hint="default" w:ascii="Times New Roman" w:hAnsi="Times New Roman" w:eastAsia="黑体" w:cs="Times New Roman"/>
          <w:b w:val="0"/>
          <w:bCs w:val="0"/>
          <w:i w:val="0"/>
          <w:iCs w:val="0"/>
          <w:caps w:val="0"/>
          <w:color w:val="000000"/>
          <w:spacing w:val="0"/>
          <w:sz w:val="32"/>
          <w:szCs w:val="32"/>
          <w:highlight w:val="none"/>
          <w:shd w:val="clear" w:color="0C0000" w:fill="FFFFFF"/>
          <w:lang w:val="en-US" w:eastAsia="zh-CN"/>
        </w:rPr>
      </w:pPr>
      <w:r>
        <w:rPr>
          <w:rStyle w:val="8"/>
          <w:rFonts w:hint="default" w:ascii="Times New Roman" w:hAnsi="Times New Roman" w:eastAsia="黑体" w:cs="Times New Roman"/>
          <w:b w:val="0"/>
          <w:bCs w:val="0"/>
          <w:i w:val="0"/>
          <w:iCs w:val="0"/>
          <w:caps w:val="0"/>
          <w:color w:val="000000"/>
          <w:spacing w:val="0"/>
          <w:sz w:val="32"/>
          <w:szCs w:val="32"/>
          <w:highlight w:val="none"/>
          <w:shd w:val="clear" w:color="0C0000" w:fill="FFFFFF"/>
          <w:lang w:val="en-US" w:eastAsia="zh-CN"/>
        </w:rPr>
        <w:t>持续强化要素保障</w:t>
      </w:r>
    </w:p>
    <w:p>
      <w:pPr>
        <w:wordWrap/>
        <w:adjustRightInd/>
        <w:snapToGrid/>
        <w:spacing w:beforeAutospacing="0" w:afterAutospacing="0" w:line="600" w:lineRule="exact"/>
        <w:ind w:firstLine="643" w:firstLineChars="200"/>
        <w:jc w:val="both"/>
        <w:textAlignment w:val="auto"/>
        <w:rPr>
          <w:rFonts w:hint="default" w:ascii="Times New Roman" w:hAnsi="Times New Roman" w:eastAsia="仿宋_GB2312" w:cs="Times New Roman"/>
          <w:i w:val="0"/>
          <w:iCs w:val="0"/>
          <w:caps w:val="0"/>
          <w:color w:val="000000"/>
          <w:spacing w:val="0"/>
          <w:kern w:val="0"/>
          <w:sz w:val="32"/>
          <w:szCs w:val="32"/>
          <w:highlight w:val="none"/>
          <w:shd w:val="clear" w:color="0A0000" w:fill="FFFFFF"/>
          <w:lang w:val="en-US" w:eastAsia="zh-CN"/>
        </w:rPr>
      </w:pPr>
      <w:r>
        <w:rPr>
          <w:rStyle w:val="8"/>
          <w:rFonts w:hint="default" w:ascii="Times New Roman" w:hAnsi="Times New Roman" w:eastAsia="楷体_GB2312" w:cs="Times New Roman"/>
          <w:b/>
          <w:bCs/>
          <w:i w:val="0"/>
          <w:iCs w:val="0"/>
          <w:caps w:val="0"/>
          <w:color w:val="000000"/>
          <w:spacing w:val="0"/>
          <w:sz w:val="32"/>
          <w:szCs w:val="32"/>
          <w:highlight w:val="none"/>
          <w:shd w:val="clear" w:color="0C0000" w:fill="FFFFFF"/>
          <w:lang w:val="en-US" w:eastAsia="zh-CN"/>
        </w:rPr>
        <w:t>22、全力援企稳岗保用工。</w:t>
      </w:r>
      <w:r>
        <w:rPr>
          <w:rFonts w:hint="default" w:ascii="Times New Roman" w:hAnsi="Times New Roman" w:eastAsia="仿宋_GB2312" w:cs="Times New Roman"/>
          <w:color w:val="000000"/>
          <w:kern w:val="2"/>
          <w:sz w:val="32"/>
          <w:szCs w:val="32"/>
          <w:highlight w:val="none"/>
          <w:lang w:val="en-US" w:eastAsia="zh-CN" w:bidi="ar-SA"/>
        </w:rPr>
        <w:t>扎实推进“人人持证、技能河南”建设，提高劳动者就业能力。整合各类用人单位用工需求，加强区内企业人力资源整合、互通。鼓励新招员工，支持稳岗扩岗。2022年度内辖区企业新招员工上岗，签订一年以上劳动合同并依法参加社会保险的，给予用工企业300元/人一次性吸纳就业补助；对新招用应届高校毕业生的，按</w:t>
      </w:r>
      <w:r>
        <w:rPr>
          <w:rFonts w:hint="eastAsia" w:ascii="Times New Roman" w:hAnsi="Times New Roman" w:eastAsia="仿宋_GB2312" w:cs="Times New Roman"/>
          <w:color w:val="000000"/>
          <w:kern w:val="2"/>
          <w:sz w:val="32"/>
          <w:szCs w:val="32"/>
          <w:highlight w:val="none"/>
          <w:lang w:val="en-US" w:eastAsia="zh-CN" w:bidi="ar-SA"/>
        </w:rPr>
        <w:t>400</w:t>
      </w:r>
      <w:r>
        <w:rPr>
          <w:rFonts w:hint="default" w:ascii="Times New Roman" w:hAnsi="Times New Roman" w:eastAsia="仿宋_GB2312" w:cs="Times New Roman"/>
          <w:color w:val="000000"/>
          <w:kern w:val="2"/>
          <w:sz w:val="32"/>
          <w:szCs w:val="32"/>
          <w:highlight w:val="none"/>
          <w:lang w:val="en-US" w:eastAsia="zh-CN" w:bidi="ar-SA"/>
        </w:rPr>
        <w:t>元/人标准给予补助。单个企业</w:t>
      </w:r>
      <w:r>
        <w:rPr>
          <w:rFonts w:hint="eastAsia" w:ascii="Times New Roman" w:hAnsi="Times New Roman" w:eastAsia="仿宋_GB2312" w:cs="Times New Roman"/>
          <w:color w:val="000000"/>
          <w:kern w:val="2"/>
          <w:sz w:val="32"/>
          <w:szCs w:val="32"/>
          <w:highlight w:val="none"/>
          <w:lang w:val="en-US" w:eastAsia="zh-CN" w:bidi="ar-SA"/>
        </w:rPr>
        <w:t>年累计</w:t>
      </w:r>
      <w:r>
        <w:rPr>
          <w:rFonts w:hint="default" w:ascii="Times New Roman" w:hAnsi="Times New Roman" w:eastAsia="仿宋_GB2312" w:cs="Times New Roman"/>
          <w:color w:val="000000"/>
          <w:kern w:val="2"/>
          <w:sz w:val="32"/>
          <w:szCs w:val="32"/>
          <w:highlight w:val="none"/>
          <w:lang w:val="en-US" w:eastAsia="zh-CN" w:bidi="ar-SA"/>
        </w:rPr>
        <w:t>最高不超过10万元。</w:t>
      </w:r>
      <w:r>
        <w:rPr>
          <w:rFonts w:hint="default" w:ascii="Times New Roman" w:hAnsi="Times New Roman" w:eastAsia="仿宋_GB2312" w:cs="Times New Roman"/>
          <w:b w:val="0"/>
          <w:bCs w:val="0"/>
          <w:i w:val="0"/>
          <w:iCs w:val="0"/>
          <w:caps w:val="0"/>
          <w:color w:val="000000"/>
          <w:spacing w:val="0"/>
          <w:sz w:val="32"/>
          <w:szCs w:val="32"/>
          <w:highlight w:val="none"/>
          <w:shd w:val="clear" w:color="0B0000" w:fill="FFFFFF"/>
          <w:lang w:val="en-US" w:eastAsia="zh-CN"/>
        </w:rPr>
        <w:t>（</w:t>
      </w:r>
      <w:r>
        <w:rPr>
          <w:rFonts w:hint="default" w:ascii="Times New Roman" w:hAnsi="Times New Roman" w:eastAsia="楷体_GB2312" w:cs="Times New Roman"/>
          <w:b w:val="0"/>
          <w:bCs w:val="0"/>
          <w:i w:val="0"/>
          <w:iCs w:val="0"/>
          <w:caps w:val="0"/>
          <w:color w:val="000000"/>
          <w:spacing w:val="0"/>
          <w:kern w:val="0"/>
          <w:sz w:val="32"/>
          <w:szCs w:val="32"/>
          <w:highlight w:val="none"/>
          <w:shd w:val="clear" w:color="0C0000" w:fill="FFFFFF"/>
          <w:lang w:val="en-US" w:eastAsia="zh-CN"/>
        </w:rPr>
        <w:t>责任单位：区人社局）</w:t>
      </w:r>
    </w:p>
    <w:p>
      <w:pPr>
        <w:wordWrap/>
        <w:adjustRightInd/>
        <w:snapToGrid/>
        <w:spacing w:beforeAutospacing="0" w:afterAutospacing="0" w:line="600" w:lineRule="exact"/>
        <w:ind w:firstLine="643" w:firstLineChars="200"/>
        <w:jc w:val="both"/>
        <w:textAlignment w:val="auto"/>
        <w:rPr>
          <w:rFonts w:hint="default" w:ascii="Times New Roman" w:hAnsi="Times New Roman" w:eastAsia="仿宋_GB2312" w:cs="Times New Roman"/>
          <w:color w:val="000000"/>
          <w:kern w:val="2"/>
          <w:sz w:val="32"/>
          <w:szCs w:val="32"/>
          <w:highlight w:val="none"/>
          <w:lang w:val="en-US" w:eastAsia="zh-CN" w:bidi="ar-SA"/>
        </w:rPr>
      </w:pPr>
      <w:r>
        <w:rPr>
          <w:rStyle w:val="8"/>
          <w:rFonts w:hint="default" w:ascii="Times New Roman" w:hAnsi="Times New Roman" w:eastAsia="楷体_GB2312" w:cs="Times New Roman"/>
          <w:b/>
          <w:bCs/>
          <w:i w:val="0"/>
          <w:iCs w:val="0"/>
          <w:caps w:val="0"/>
          <w:color w:val="000000"/>
          <w:spacing w:val="0"/>
          <w:sz w:val="32"/>
          <w:szCs w:val="32"/>
          <w:highlight w:val="none"/>
          <w:shd w:val="clear" w:color="0C0000" w:fill="FFFFFF"/>
          <w:lang w:val="en-US" w:eastAsia="zh-CN"/>
        </w:rPr>
        <w:t>23、加大金融服务支持力度。</w:t>
      </w:r>
      <w:r>
        <w:rPr>
          <w:rFonts w:hint="default" w:ascii="Times New Roman" w:hAnsi="Times New Roman" w:eastAsia="仿宋_GB2312" w:cs="Times New Roman"/>
          <w:color w:val="000000"/>
          <w:kern w:val="2"/>
          <w:sz w:val="32"/>
          <w:szCs w:val="32"/>
          <w:highlight w:val="none"/>
          <w:lang w:val="en-US" w:eastAsia="zh-CN" w:bidi="ar-SA"/>
        </w:rPr>
        <w:t>加强普惠金融和特殊金融服务。引导金融机构加大普惠性小微贷款投放力度，常态化举办银企对接活动，深入推进“千企万户计划”，利用代偿补偿资金池和保费补贴，进一步降低企业融资成本；用好“信易贷”、“省金融共享平台”及“郑好融”等省市融资平台，建立完善“金水区企业征信白名单”，鼓励金融机构在融资授信等方面给予白名单企业便利。</w:t>
      </w:r>
      <w:r>
        <w:rPr>
          <w:rFonts w:hint="default" w:ascii="Times New Roman" w:hAnsi="Times New Roman" w:eastAsia="仿宋_GB2312" w:cs="Times New Roman"/>
          <w:b w:val="0"/>
          <w:bCs w:val="0"/>
          <w:i w:val="0"/>
          <w:iCs w:val="0"/>
          <w:caps w:val="0"/>
          <w:color w:val="000000"/>
          <w:spacing w:val="0"/>
          <w:sz w:val="32"/>
          <w:szCs w:val="32"/>
          <w:highlight w:val="none"/>
          <w:shd w:val="clear" w:color="0B0000" w:fill="FFFFFF"/>
          <w:lang w:val="en-US" w:eastAsia="zh-CN"/>
        </w:rPr>
        <w:t>（</w:t>
      </w:r>
      <w:r>
        <w:rPr>
          <w:rFonts w:hint="default" w:ascii="Times New Roman" w:hAnsi="Times New Roman" w:eastAsia="楷体_GB2312" w:cs="Times New Roman"/>
          <w:b w:val="0"/>
          <w:bCs w:val="0"/>
          <w:i w:val="0"/>
          <w:iCs w:val="0"/>
          <w:caps w:val="0"/>
          <w:color w:val="000000"/>
          <w:spacing w:val="0"/>
          <w:kern w:val="0"/>
          <w:sz w:val="32"/>
          <w:szCs w:val="32"/>
          <w:highlight w:val="none"/>
          <w:shd w:val="clear" w:color="0C0000" w:fill="FFFFFF"/>
          <w:lang w:val="en-US" w:eastAsia="zh-CN"/>
        </w:rPr>
        <w:t>责任单位：区金融工作服务中心）</w:t>
      </w:r>
      <w:r>
        <w:rPr>
          <w:rFonts w:hint="default" w:ascii="Times New Roman" w:hAnsi="Times New Roman" w:eastAsia="仿宋_GB2312" w:cs="Times New Roman"/>
          <w:color w:val="000000"/>
          <w:kern w:val="2"/>
          <w:sz w:val="32"/>
          <w:szCs w:val="32"/>
          <w:highlight w:val="none"/>
          <w:lang w:val="en-US" w:eastAsia="zh-CN" w:bidi="ar-SA"/>
        </w:rPr>
        <w:t xml:space="preserve"> </w:t>
      </w:r>
    </w:p>
    <w:p>
      <w:pPr>
        <w:wordWrap/>
        <w:adjustRightInd/>
        <w:snapToGrid/>
        <w:spacing w:beforeAutospacing="0" w:afterAutospacing="0" w:line="600" w:lineRule="exact"/>
        <w:ind w:firstLine="643" w:firstLineChars="200"/>
        <w:jc w:val="both"/>
        <w:textAlignment w:val="auto"/>
        <w:rPr>
          <w:rFonts w:hint="default" w:ascii="Times New Roman" w:hAnsi="Times New Roman" w:cs="Times New Roman"/>
          <w:lang w:val="en-US" w:eastAsia="zh-CN"/>
        </w:rPr>
      </w:pPr>
      <w:r>
        <w:rPr>
          <w:rStyle w:val="8"/>
          <w:rFonts w:hint="default" w:ascii="Times New Roman" w:hAnsi="Times New Roman" w:eastAsia="楷体_GB2312" w:cs="Times New Roman"/>
          <w:b/>
          <w:bCs/>
          <w:i w:val="0"/>
          <w:iCs w:val="0"/>
          <w:caps w:val="0"/>
          <w:color w:val="000000"/>
          <w:spacing w:val="0"/>
          <w:sz w:val="32"/>
          <w:szCs w:val="32"/>
          <w:highlight w:val="none"/>
          <w:shd w:val="clear" w:color="0C0000" w:fill="FFFFFF"/>
          <w:lang w:val="en-US" w:eastAsia="zh-CN"/>
        </w:rPr>
        <w:t>24、落实房租减免惠企政策。</w:t>
      </w:r>
      <w:r>
        <w:rPr>
          <w:rFonts w:hint="default" w:ascii="Times New Roman" w:hAnsi="Times New Roman" w:eastAsia="仿宋_GB2312" w:cs="Times New Roman"/>
          <w:color w:val="000000"/>
          <w:kern w:val="2"/>
          <w:sz w:val="32"/>
          <w:szCs w:val="32"/>
          <w:highlight w:val="none"/>
          <w:lang w:val="en-US" w:eastAsia="zh-CN" w:bidi="ar-SA"/>
        </w:rPr>
        <w:t>对受疫情影响不能正常经营的个体工商户和中小微企业，承租国有资产类经营用房的，2022年免收3个月房租、减半收取12个月房租；承租非国有资产类经营用房的，鼓励房产产权者在租赁双方平等协商基础上减免或延期收取，与承租企业共克时艰、共赢发展。</w:t>
      </w:r>
      <w:r>
        <w:rPr>
          <w:rFonts w:hint="default" w:ascii="Times New Roman" w:hAnsi="Times New Roman" w:eastAsia="仿宋_GB2312" w:cs="Times New Roman"/>
          <w:b w:val="0"/>
          <w:bCs w:val="0"/>
          <w:i w:val="0"/>
          <w:iCs w:val="0"/>
          <w:caps w:val="0"/>
          <w:color w:val="000000"/>
          <w:spacing w:val="0"/>
          <w:sz w:val="32"/>
          <w:szCs w:val="32"/>
          <w:highlight w:val="none"/>
          <w:shd w:val="clear" w:color="0B0000" w:fill="FFFFFF"/>
          <w:lang w:val="en-US" w:eastAsia="zh-CN"/>
        </w:rPr>
        <w:t>（</w:t>
      </w:r>
      <w:r>
        <w:rPr>
          <w:rFonts w:hint="default" w:ascii="Times New Roman" w:hAnsi="Times New Roman" w:eastAsia="楷体_GB2312" w:cs="Times New Roman"/>
          <w:b w:val="0"/>
          <w:bCs w:val="0"/>
          <w:i w:val="0"/>
          <w:iCs w:val="0"/>
          <w:caps w:val="0"/>
          <w:color w:val="000000"/>
          <w:spacing w:val="0"/>
          <w:kern w:val="0"/>
          <w:sz w:val="32"/>
          <w:szCs w:val="32"/>
          <w:highlight w:val="none"/>
          <w:shd w:val="clear" w:color="0C0000" w:fill="FFFFFF"/>
          <w:lang w:val="en-US" w:eastAsia="zh-CN"/>
        </w:rPr>
        <w:t>责任单位：区财政局）</w:t>
      </w:r>
    </w:p>
    <w:p>
      <w:pPr>
        <w:wordWrap/>
        <w:adjustRightInd/>
        <w:snapToGrid/>
        <w:spacing w:beforeAutospacing="0" w:afterAutospacing="0" w:line="600" w:lineRule="exact"/>
        <w:ind w:firstLine="643" w:firstLineChars="200"/>
        <w:jc w:val="both"/>
        <w:textAlignment w:val="auto"/>
        <w:rPr>
          <w:rFonts w:hint="default" w:ascii="Times New Roman" w:hAnsi="Times New Roman" w:eastAsia="仿宋_GB2312" w:cs="Times New Roman"/>
          <w:color w:val="000000"/>
          <w:kern w:val="2"/>
          <w:sz w:val="32"/>
          <w:szCs w:val="32"/>
          <w:highlight w:val="none"/>
          <w:lang w:val="en-US" w:eastAsia="zh-CN" w:bidi="ar-SA"/>
        </w:rPr>
      </w:pPr>
      <w:r>
        <w:rPr>
          <w:rStyle w:val="8"/>
          <w:rFonts w:hint="default" w:ascii="Times New Roman" w:hAnsi="Times New Roman" w:eastAsia="楷体_GB2312" w:cs="Times New Roman"/>
          <w:b/>
          <w:bCs/>
          <w:i w:val="0"/>
          <w:iCs w:val="0"/>
          <w:caps w:val="0"/>
          <w:color w:val="000000"/>
          <w:spacing w:val="0"/>
          <w:sz w:val="32"/>
          <w:szCs w:val="32"/>
          <w:highlight w:val="none"/>
          <w:shd w:val="clear" w:color="0C0000" w:fill="FFFFFF"/>
          <w:lang w:val="en-US" w:eastAsia="zh-CN"/>
        </w:rPr>
        <w:t>25、深入开展一把手“益企行”走流程活动。</w:t>
      </w:r>
      <w:r>
        <w:rPr>
          <w:rFonts w:hint="default" w:ascii="Times New Roman" w:hAnsi="Times New Roman" w:eastAsia="仿宋_GB2312" w:cs="Times New Roman"/>
          <w:color w:val="000000"/>
          <w:kern w:val="2"/>
          <w:sz w:val="32"/>
          <w:szCs w:val="32"/>
          <w:highlight w:val="none"/>
          <w:lang w:val="en-US" w:eastAsia="zh-CN" w:bidi="ar-SA"/>
        </w:rPr>
        <w:t>聚焦“放管服效”改革，围绕企业全生命周期，各级党政领导通过选取办事主题，以企业和群众身份走办事流程或以工作人员身份体验办理流程，了解企业诉求、找准堵点难点，以“换位式”体验促数字化改革提升，力促“体验一个事项、解决一批问题、优化一套流程”，推动数据全面打通、流程重新再造，实现涉企业务“全程网办、一网通办、不见面办、一次办好”。</w:t>
      </w:r>
      <w:r>
        <w:rPr>
          <w:rFonts w:hint="default" w:ascii="Times New Roman" w:hAnsi="Times New Roman" w:eastAsia="仿宋_GB2312" w:cs="Times New Roman"/>
          <w:b w:val="0"/>
          <w:bCs w:val="0"/>
          <w:i w:val="0"/>
          <w:iCs w:val="0"/>
          <w:caps w:val="0"/>
          <w:color w:val="000000"/>
          <w:spacing w:val="0"/>
          <w:sz w:val="32"/>
          <w:szCs w:val="32"/>
          <w:highlight w:val="none"/>
          <w:shd w:val="clear" w:color="0B0000" w:fill="FFFFFF"/>
          <w:lang w:val="en-US" w:eastAsia="zh-CN"/>
        </w:rPr>
        <w:t>（</w:t>
      </w:r>
      <w:r>
        <w:rPr>
          <w:rFonts w:hint="default" w:ascii="Times New Roman" w:hAnsi="Times New Roman" w:eastAsia="楷体_GB2312" w:cs="Times New Roman"/>
          <w:b w:val="0"/>
          <w:bCs w:val="0"/>
          <w:i w:val="0"/>
          <w:iCs w:val="0"/>
          <w:caps w:val="0"/>
          <w:color w:val="000000"/>
          <w:spacing w:val="0"/>
          <w:kern w:val="0"/>
          <w:sz w:val="32"/>
          <w:szCs w:val="32"/>
          <w:highlight w:val="none"/>
          <w:shd w:val="clear" w:color="0C0000" w:fill="FFFFFF"/>
          <w:lang w:val="en-US" w:eastAsia="zh-CN"/>
        </w:rPr>
        <w:t>责任单位：区政务办）</w:t>
      </w:r>
    </w:p>
    <w:p>
      <w:pPr>
        <w:wordWrap/>
        <w:adjustRightInd/>
        <w:snapToGrid/>
        <w:spacing w:beforeAutospacing="0" w:afterAutospacing="0" w:line="600" w:lineRule="exact"/>
        <w:ind w:firstLine="643" w:firstLineChars="200"/>
        <w:jc w:val="both"/>
        <w:textAlignment w:val="auto"/>
        <w:rPr>
          <w:rFonts w:hint="default" w:ascii="Times New Roman" w:hAnsi="Times New Roman" w:eastAsia="仿宋_GB2312" w:cs="Times New Roman"/>
          <w:b w:val="0"/>
          <w:bCs w:val="0"/>
          <w:i w:val="0"/>
          <w:iCs w:val="0"/>
          <w:caps w:val="0"/>
          <w:color w:val="000000"/>
          <w:spacing w:val="0"/>
          <w:sz w:val="32"/>
          <w:szCs w:val="32"/>
          <w:highlight w:val="none"/>
          <w:shd w:val="clear" w:color="0B0000" w:fill="FFFFFF"/>
          <w:lang w:val="en-US" w:eastAsia="zh-CN"/>
        </w:rPr>
      </w:pPr>
      <w:r>
        <w:rPr>
          <w:rStyle w:val="8"/>
          <w:rFonts w:hint="default" w:ascii="Times New Roman" w:hAnsi="Times New Roman" w:eastAsia="楷体_GB2312" w:cs="Times New Roman"/>
          <w:b/>
          <w:bCs/>
          <w:i w:val="0"/>
          <w:iCs w:val="0"/>
          <w:caps w:val="0"/>
          <w:color w:val="000000"/>
          <w:spacing w:val="0"/>
          <w:sz w:val="32"/>
          <w:szCs w:val="32"/>
          <w:highlight w:val="none"/>
          <w:shd w:val="clear" w:color="0C0000" w:fill="FFFFFF"/>
          <w:lang w:val="en-US" w:eastAsia="zh-CN"/>
        </w:rPr>
        <w:t>26、不断健全助企政策体系。</w:t>
      </w:r>
      <w:r>
        <w:rPr>
          <w:rFonts w:hint="default" w:ascii="Times New Roman" w:hAnsi="Times New Roman" w:eastAsia="仿宋_GB2312" w:cs="Times New Roman"/>
          <w:color w:val="000000"/>
          <w:kern w:val="2"/>
          <w:sz w:val="32"/>
          <w:szCs w:val="32"/>
          <w:highlight w:val="none"/>
          <w:lang w:val="en-US" w:eastAsia="zh-CN" w:bidi="ar-SA"/>
        </w:rPr>
        <w:t>建立健全多层次政策体系，全面落实国家、省、市各项助企纾困政策，积极推进金水区“1+N+X”政策的落地见效，适时出台分行业分领域相关惠企政策，加强政策配套，打好政策组合拳。拓展宣传渠道，用好服务热线，及时回应政策咨询，做好实施细则解读，坚持“一口受理、不见面审批、政策直达”的工作机制。</w:t>
      </w:r>
      <w:r>
        <w:rPr>
          <w:rFonts w:hint="default" w:ascii="Times New Roman" w:hAnsi="Times New Roman" w:eastAsia="楷体_GB2312" w:cs="Times New Roman"/>
          <w:b w:val="0"/>
          <w:bCs w:val="0"/>
          <w:i w:val="0"/>
          <w:iCs w:val="0"/>
          <w:caps w:val="0"/>
          <w:color w:val="000000"/>
          <w:spacing w:val="0"/>
          <w:kern w:val="0"/>
          <w:sz w:val="32"/>
          <w:szCs w:val="32"/>
          <w:highlight w:val="none"/>
          <w:shd w:val="clear" w:color="0C0000" w:fill="FFFFFF"/>
          <w:lang w:val="en-US" w:eastAsia="zh-CN"/>
        </w:rPr>
        <w:t>（责任单位：区直相关职能部门）</w:t>
      </w:r>
    </w:p>
    <w:p>
      <w:pPr>
        <w:pStyle w:val="6"/>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仿宋_GB2312" w:cs="Times New Roman"/>
          <w:i w:val="0"/>
          <w:iCs w:val="0"/>
          <w:caps w:val="0"/>
          <w:color w:val="000000"/>
          <w:spacing w:val="0"/>
          <w:sz w:val="32"/>
          <w:szCs w:val="32"/>
          <w:highlight w:val="none"/>
          <w:shd w:val="clear" w:color="090000" w:fill="FFFFFF"/>
          <w:lang w:val="en-US" w:eastAsia="zh-CN"/>
        </w:rPr>
      </w:pPr>
    </w:p>
    <w:p>
      <w:pPr>
        <w:pStyle w:val="6"/>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仿宋_GB2312" w:cs="Times New Roman"/>
          <w:i w:val="0"/>
          <w:iCs w:val="0"/>
          <w:caps w:val="0"/>
          <w:color w:val="000000"/>
          <w:spacing w:val="0"/>
          <w:sz w:val="32"/>
          <w:szCs w:val="32"/>
          <w:highlight w:val="none"/>
          <w:shd w:val="clear" w:color="090000" w:fill="FFFFFF"/>
          <w:lang w:val="en-US" w:eastAsia="zh-CN"/>
        </w:rPr>
      </w:pPr>
      <w:r>
        <w:rPr>
          <w:rFonts w:hint="default" w:ascii="Times New Roman" w:hAnsi="Times New Roman" w:eastAsia="仿宋_GB2312" w:cs="Times New Roman"/>
          <w:i w:val="0"/>
          <w:iCs w:val="0"/>
          <w:caps w:val="0"/>
          <w:color w:val="000000"/>
          <w:spacing w:val="0"/>
          <w:sz w:val="32"/>
          <w:szCs w:val="32"/>
          <w:highlight w:val="none"/>
          <w:shd w:val="clear" w:color="090000" w:fill="FFFFFF"/>
          <w:lang w:val="en-US" w:eastAsia="zh-CN"/>
        </w:rPr>
        <w:t>附则：本政策适用于在金水区依法登记注册、依法纳税、依法纳统的企业、机构及其人员，且无不良信用记录。支持对象在享受扶持后，应承诺五年内不将注册登记地址迁出金水区，不改变在金水区原有的纳税纳统义务。</w:t>
      </w:r>
    </w:p>
    <w:p>
      <w:pPr>
        <w:pStyle w:val="6"/>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仿宋_GB2312" w:cs="Times New Roman"/>
          <w:i w:val="0"/>
          <w:iCs w:val="0"/>
          <w:caps w:val="0"/>
          <w:color w:val="000000"/>
          <w:spacing w:val="0"/>
          <w:kern w:val="2"/>
          <w:sz w:val="32"/>
          <w:szCs w:val="32"/>
          <w:highlight w:val="none"/>
          <w:shd w:val="clear" w:color="0A0000" w:fill="FFFFFF"/>
          <w:lang w:val="en-US" w:eastAsia="zh-CN" w:bidi="ar-SA"/>
        </w:rPr>
      </w:pPr>
      <w:r>
        <w:rPr>
          <w:rFonts w:hint="default" w:ascii="Times New Roman" w:hAnsi="Times New Roman" w:eastAsia="仿宋_GB2312" w:cs="Times New Roman"/>
          <w:i w:val="0"/>
          <w:iCs w:val="0"/>
          <w:caps w:val="0"/>
          <w:color w:val="000000"/>
          <w:spacing w:val="0"/>
          <w:sz w:val="32"/>
          <w:szCs w:val="32"/>
          <w:highlight w:val="none"/>
          <w:shd w:val="clear" w:color="090000" w:fill="FFFFFF"/>
          <w:lang w:val="en-US" w:eastAsia="zh-CN"/>
        </w:rPr>
        <w:t>本政策措施与</w:t>
      </w:r>
      <w:r>
        <w:rPr>
          <w:rFonts w:hint="default" w:ascii="Times New Roman" w:hAnsi="Times New Roman" w:eastAsia="仿宋_GB2312" w:cs="Times New Roman"/>
          <w:i w:val="0"/>
          <w:iCs w:val="0"/>
          <w:caps w:val="0"/>
          <w:color w:val="000000"/>
          <w:spacing w:val="0"/>
          <w:sz w:val="32"/>
          <w:szCs w:val="32"/>
          <w:highlight w:val="none"/>
          <w:shd w:val="clear" w:color="090000" w:fill="FFFFFF"/>
        </w:rPr>
        <w:t>国家、省</w:t>
      </w:r>
      <w:r>
        <w:rPr>
          <w:rFonts w:hint="default" w:ascii="Times New Roman" w:hAnsi="Times New Roman" w:eastAsia="仿宋_GB2312" w:cs="Times New Roman"/>
          <w:i w:val="0"/>
          <w:iCs w:val="0"/>
          <w:caps w:val="0"/>
          <w:color w:val="000000"/>
          <w:spacing w:val="0"/>
          <w:sz w:val="32"/>
          <w:szCs w:val="32"/>
          <w:highlight w:val="none"/>
          <w:shd w:val="clear" w:color="090000" w:fill="FFFFFF"/>
          <w:lang w:eastAsia="zh-CN"/>
        </w:rPr>
        <w:t>、</w:t>
      </w:r>
      <w:r>
        <w:rPr>
          <w:rFonts w:hint="default" w:ascii="Times New Roman" w:hAnsi="Times New Roman" w:eastAsia="仿宋_GB2312" w:cs="Times New Roman"/>
          <w:i w:val="0"/>
          <w:iCs w:val="0"/>
          <w:caps w:val="0"/>
          <w:color w:val="000000"/>
          <w:spacing w:val="0"/>
          <w:sz w:val="32"/>
          <w:szCs w:val="32"/>
          <w:highlight w:val="none"/>
          <w:shd w:val="clear" w:color="090000" w:fill="FFFFFF"/>
          <w:lang w:val="en-US" w:eastAsia="zh-CN"/>
        </w:rPr>
        <w:t>市及金水区其他各项政策按照</w:t>
      </w:r>
      <w:r>
        <w:rPr>
          <w:rFonts w:hint="default" w:ascii="Times New Roman" w:hAnsi="Times New Roman" w:eastAsia="仿宋_GB2312" w:cs="Times New Roman"/>
          <w:i w:val="0"/>
          <w:iCs w:val="0"/>
          <w:caps w:val="0"/>
          <w:color w:val="000000"/>
          <w:spacing w:val="0"/>
          <w:sz w:val="32"/>
          <w:szCs w:val="32"/>
          <w:highlight w:val="none"/>
          <w:shd w:val="clear" w:color="090000" w:fill="FFFFFF"/>
        </w:rPr>
        <w:t>从优</w:t>
      </w:r>
      <w:r>
        <w:rPr>
          <w:rFonts w:hint="default" w:ascii="Times New Roman" w:hAnsi="Times New Roman" w:eastAsia="仿宋_GB2312" w:cs="Times New Roman"/>
          <w:i w:val="0"/>
          <w:iCs w:val="0"/>
          <w:caps w:val="0"/>
          <w:color w:val="000000"/>
          <w:spacing w:val="0"/>
          <w:sz w:val="32"/>
          <w:szCs w:val="32"/>
          <w:highlight w:val="none"/>
          <w:shd w:val="clear" w:color="090000" w:fill="FFFFFF"/>
          <w:lang w:val="en-US" w:eastAsia="zh-CN"/>
        </w:rPr>
        <w:t>不重复原则</w:t>
      </w:r>
      <w:r>
        <w:rPr>
          <w:rFonts w:hint="default" w:ascii="Times New Roman" w:hAnsi="Times New Roman" w:eastAsia="仿宋_GB2312" w:cs="Times New Roman"/>
          <w:i w:val="0"/>
          <w:iCs w:val="0"/>
          <w:caps w:val="0"/>
          <w:color w:val="000000"/>
          <w:spacing w:val="0"/>
          <w:sz w:val="32"/>
          <w:szCs w:val="32"/>
          <w:highlight w:val="none"/>
          <w:shd w:val="clear" w:color="090000" w:fill="FFFFFF"/>
        </w:rPr>
        <w:t>执行。本政策措施自印发之日起实施，有效期至2022年12月31日</w:t>
      </w:r>
      <w:r>
        <w:rPr>
          <w:rFonts w:hint="default" w:ascii="Times New Roman" w:hAnsi="Times New Roman" w:eastAsia="仿宋_GB2312" w:cs="Times New Roman"/>
          <w:i w:val="0"/>
          <w:iCs w:val="0"/>
          <w:caps w:val="0"/>
          <w:color w:val="000000"/>
          <w:spacing w:val="0"/>
          <w:sz w:val="32"/>
          <w:szCs w:val="32"/>
          <w:highlight w:val="none"/>
          <w:shd w:val="clear" w:color="090000" w:fill="FFFFFF"/>
          <w:lang w:eastAsia="zh-CN"/>
        </w:rPr>
        <w:t>，</w:t>
      </w:r>
      <w:r>
        <w:rPr>
          <w:rFonts w:hint="default" w:ascii="Times New Roman" w:hAnsi="Times New Roman" w:eastAsia="仿宋_GB2312" w:cs="Times New Roman"/>
          <w:i w:val="0"/>
          <w:iCs w:val="0"/>
          <w:caps w:val="0"/>
          <w:color w:val="000000"/>
          <w:spacing w:val="0"/>
          <w:sz w:val="32"/>
          <w:szCs w:val="32"/>
          <w:highlight w:val="none"/>
          <w:shd w:val="clear" w:color="090000" w:fill="FFFFFF"/>
          <w:lang w:val="en-US" w:eastAsia="zh-CN"/>
        </w:rPr>
        <w:t>具体政策措施明确执行期限的从其规定。</w:t>
      </w:r>
    </w:p>
    <w:p>
      <w:pPr>
        <w:pStyle w:val="6"/>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仿宋_GB2312" w:cs="Times New Roman"/>
          <w:i w:val="0"/>
          <w:iCs w:val="0"/>
          <w:caps w:val="0"/>
          <w:color w:val="000000"/>
          <w:spacing w:val="0"/>
          <w:kern w:val="2"/>
          <w:sz w:val="32"/>
          <w:szCs w:val="32"/>
          <w:highlight w:val="none"/>
          <w:shd w:val="clear" w:color="0A0000" w:fill="FFFFFF"/>
          <w:lang w:val="en-US" w:eastAsia="zh-CN" w:bidi="ar-SA"/>
        </w:rPr>
      </w:pPr>
    </w:p>
    <w:p>
      <w:pPr>
        <w:pStyle w:val="6"/>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仿宋_GB2312" w:cs="Times New Roman"/>
          <w:i w:val="0"/>
          <w:iCs w:val="0"/>
          <w:caps w:val="0"/>
          <w:color w:val="000000"/>
          <w:spacing w:val="0"/>
          <w:kern w:val="2"/>
          <w:sz w:val="32"/>
          <w:szCs w:val="32"/>
          <w:highlight w:val="none"/>
          <w:shd w:val="clear" w:color="0A0000" w:fill="FFFFFF"/>
          <w:lang w:val="en-US" w:eastAsia="zh-CN" w:bidi="ar-SA"/>
        </w:rPr>
      </w:pPr>
    </w:p>
    <w:p>
      <w:pPr>
        <w:pStyle w:val="6"/>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仿宋_GB2312" w:cs="Times New Roman"/>
          <w:i w:val="0"/>
          <w:iCs w:val="0"/>
          <w:caps w:val="0"/>
          <w:color w:val="000000"/>
          <w:spacing w:val="0"/>
          <w:kern w:val="2"/>
          <w:sz w:val="32"/>
          <w:szCs w:val="32"/>
          <w:highlight w:val="none"/>
          <w:shd w:val="clear" w:color="0A0000" w:fill="FFFFFF"/>
          <w:lang w:val="en-US" w:eastAsia="zh-CN" w:bidi="ar-SA"/>
        </w:rPr>
      </w:pPr>
    </w:p>
    <w:sectPr>
      <w:footerReference r:id="rId4" w:type="default"/>
      <w:pgSz w:w="11906" w:h="16838"/>
      <w:pgMar w:top="1984" w:right="1531" w:bottom="1984" w:left="1587" w:header="851" w:footer="992" w:gutter="0"/>
      <w:pgNumType w:fmt="decimal"/>
      <w:cols w:space="720" w:num="1"/>
      <w:rtlGutter w:val="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r>
      <w:rPr>
        <w:rFonts w:ascii="Calibri" w:hAnsi="Calibri" w:eastAsia="宋体" w:cs="黑体"/>
        <w:kern w:val="2"/>
        <w:sz w:val="18"/>
        <w:szCs w:val="24"/>
        <w:lang w:val="en-US" w:eastAsia="zh-CN" w:bidi="ar-SA"/>
      </w:rPr>
      <w:pict>
        <v:rect id="文本框 2" o:spid="_x0000_s1025" style="position:absolute;left:0;margin-top:0pt;height:144pt;width:144pt;mso-position-horizontal:outside;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4"/>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w:t>
                </w:r>
              </w:p>
            </w:txbxContent>
          </v:textbox>
        </v:rect>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615608125">
    <w:nsid w:val="9BE7033D"/>
    <w:multiLevelType w:val="singleLevel"/>
    <w:tmpl w:val="9BE7033D"/>
    <w:lvl w:ilvl="0" w:tentative="1">
      <w:start w:val="5"/>
      <w:numFmt w:val="chineseCounting"/>
      <w:suff w:val="nothing"/>
      <w:lvlText w:val="%1、"/>
      <w:lvlJc w:val="left"/>
      <w:rPr>
        <w:rFonts w:hint="eastAsia"/>
      </w:rPr>
    </w:lvl>
  </w:abstractNum>
  <w:abstractNum w:abstractNumId="1493324345">
    <w:nsid w:val="59025239"/>
    <w:multiLevelType w:val="singleLevel"/>
    <w:tmpl w:val="59025239"/>
    <w:lvl w:ilvl="0" w:tentative="1">
      <w:start w:val="1"/>
      <w:numFmt w:val="chineseCounting"/>
      <w:suff w:val="nothing"/>
      <w:lvlText w:val="%1、"/>
      <w:lvlJc w:val="left"/>
      <w:rPr>
        <w:rFonts w:hint="eastAsia"/>
      </w:rPr>
    </w:lvl>
  </w:abstractNum>
  <w:num w:numId="1">
    <w:abstractNumId w:val="1493324345"/>
  </w:num>
  <w:num w:numId="2">
    <w:abstractNumId w:val="26156081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rPr>
  </w:style>
  <w:style w:type="paragraph" w:styleId="2">
    <w:name w:val="heading 2"/>
    <w:basedOn w:val="1"/>
    <w:next w:val="1"/>
    <w:semiHidden/>
    <w:unhideWhenUsed/>
    <w:qFormat/>
    <w:uiPriority w:val="0"/>
    <w:pPr>
      <w:keepNext/>
      <w:keepLines/>
      <w:spacing w:before="260" w:beforeAutospacing="0" w:after="260" w:afterAutospacing="0" w:line="413" w:lineRule="auto"/>
      <w:outlineLvl w:val="1"/>
    </w:pPr>
    <w:rPr>
      <w:rFonts w:ascii="Arial" w:hAnsi="Arial" w:eastAsia="黑体"/>
      <w:b/>
      <w:sz w:val="32"/>
    </w:rPr>
  </w:style>
  <w:style w:type="character" w:default="1" w:styleId="7">
    <w:name w:val="Default Paragraph Font"/>
    <w:semiHidden/>
    <w:qFormat/>
    <w:uiPriority w:val="0"/>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rPr>
  </w:style>
  <w:style w:type="character" w:styleId="8">
    <w:name w:val="Strong"/>
    <w:basedOn w:val="7"/>
    <w:qFormat/>
    <w:uiPriority w:val="0"/>
    <w:rPr>
      <w:b/>
    </w:rPr>
  </w:style>
  <w:style w:type="character" w:styleId="9">
    <w:name w:val="Emphasis"/>
    <w:basedOn w:val="7"/>
    <w:qFormat/>
    <w:uiPriority w:val="0"/>
    <w:rPr>
      <w:i/>
    </w:rPr>
  </w:style>
  <w:style w:type="paragraph" w:customStyle="1" w:styleId="10">
    <w:name w:val="Default"/>
    <w:qFormat/>
    <w:uiPriority w:val="0"/>
    <w:pPr>
      <w:widowControl w:val="0"/>
      <w:autoSpaceDE w:val="0"/>
      <w:autoSpaceDN w:val="0"/>
      <w:adjustRightInd w:val="0"/>
    </w:pPr>
    <w:rPr>
      <w:rFonts w:ascii="Calibri" w:hAnsi="Calibri"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4893</Words>
  <Characters>5112</Characters>
  <Lines>0</Lines>
  <Paragraphs>0</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2022-05-17T02:18:00Z</dcterms:created>
  <dc:creator>玲玲玲</dc:creator>
  <cp:lastModifiedBy>admin</cp:lastModifiedBy>
  <cp:lastPrinted>2022-06-10T01:54:00Z</cp:lastPrinted>
  <dcterms:modified xsi:type="dcterms:W3CDTF">2022-07-12T03:27:09Z</dcterms:modified>
  <dc:title>金政办【2022】18号</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y fmtid="{D5CDD505-2E9C-101B-9397-08002B2CF9AE}" pid="3" name="ICV">
    <vt:lpwstr>0AA379A21CF34E80BA3520A0B866CB5C</vt:lpwstr>
  </property>
</Properties>
</file>