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28"/>
          <w:lang w:eastAsia="zh-CN"/>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470" w:lineRule="exact"/>
        <w:ind w:left="0" w:leftChars="0" w:right="0" w:firstLine="0" w:firstLineChars="0"/>
        <w:jc w:val="center"/>
        <w:textAlignment w:val="auto"/>
        <w:outlineLvl w:val="9"/>
        <w:rPr>
          <w:rFonts w:hint="default" w:ascii="Times New Roman" w:hAnsi="Times New Roman" w:eastAsia="仿宋_GB2312" w:cs="Times New Roman"/>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beforeAutospacing="0" w:afterAutospacing="0" w:line="570" w:lineRule="exact"/>
        <w:ind w:left="0" w:leftChars="0" w:right="0" w:firstLine="0" w:firstLineChars="0"/>
        <w:jc w:val="center"/>
        <w:textAlignment w:val="auto"/>
        <w:outlineLvl w:val="9"/>
        <w:rPr>
          <w:rFonts w:hint="eastAsia" w:ascii="Times New Roman" w:hAnsi="Times New Roman" w:eastAsia="仿宋_GB2312" w:cs="仿宋_GB2312"/>
          <w:color w:val="000000"/>
          <w:spacing w:val="0"/>
          <w:w w:val="100"/>
          <w:kern w:val="0"/>
          <w:sz w:val="32"/>
          <w:szCs w:val="32"/>
        </w:rPr>
      </w:pPr>
    </w:p>
    <w:p>
      <w:pPr>
        <w:pageBreakBefore w:val="0"/>
        <w:widowControl w:val="0"/>
        <w:shd w:val="clear" w:color="auto" w:fill="auto"/>
        <w:kinsoku/>
        <w:wordWrap/>
        <w:overflowPunct w:val="0"/>
        <w:topLinePunct w:val="0"/>
        <w:autoSpaceDE/>
        <w:autoSpaceDN/>
        <w:bidi w:val="0"/>
        <w:adjustRightInd/>
        <w:snapToGrid/>
        <w:spacing w:line="590" w:lineRule="exact"/>
        <w:ind w:left="0" w:leftChars="0" w:right="0" w:rightChars="0"/>
        <w:jc w:val="center"/>
        <w:textAlignment w:val="auto"/>
        <w:outlineLvl w:val="9"/>
        <w:rPr>
          <w:rFonts w:hint="eastAsia" w:ascii="Times New Roman" w:hAnsi="Times New Roman" w:eastAsia="仿宋_GB2312" w:cs="仿宋_GB2312"/>
          <w:color w:val="000000"/>
          <w:spacing w:val="0"/>
          <w:sz w:val="32"/>
          <w:szCs w:val="32"/>
          <w:lang w:val="en-US" w:eastAsia="zh-CN"/>
        </w:rPr>
      </w:pPr>
      <w:r>
        <w:rPr>
          <w:rFonts w:hint="eastAsia" w:ascii="Times New Roman" w:hAnsi="Times New Roman" w:eastAsia="仿宋_GB2312" w:cs="仿宋_GB2312"/>
          <w:color w:val="000000"/>
          <w:spacing w:val="0"/>
          <w:sz w:val="32"/>
          <w:szCs w:val="32"/>
          <w:lang w:eastAsia="zh-CN"/>
        </w:rPr>
        <w:t>金政办</w:t>
      </w:r>
      <w:r>
        <w:rPr>
          <w:rFonts w:hint="eastAsia" w:ascii="Times New Roman" w:hAnsi="Times New Roman" w:eastAsia="仿宋_GB2312" w:cs="仿宋_GB2312"/>
          <w:color w:val="000000"/>
          <w:spacing w:val="0"/>
          <w:sz w:val="32"/>
          <w:szCs w:val="24"/>
        </w:rPr>
        <w:t>〔</w:t>
      </w:r>
      <w:r>
        <w:rPr>
          <w:rFonts w:hint="eastAsia" w:ascii="Times New Roman" w:hAnsi="Times New Roman" w:eastAsia="仿宋_GB2312" w:cs="仿宋_GB2312"/>
          <w:color w:val="000000"/>
          <w:spacing w:val="0"/>
          <w:sz w:val="32"/>
          <w:szCs w:val="32"/>
          <w:lang w:val="en-US" w:eastAsia="zh-CN"/>
        </w:rPr>
        <w:t>2021</w:t>
      </w:r>
      <w:r>
        <w:rPr>
          <w:rFonts w:hint="eastAsia" w:ascii="Times New Roman" w:hAnsi="Times New Roman" w:eastAsia="仿宋_GB2312" w:cs="仿宋_GB2312"/>
          <w:color w:val="000000"/>
          <w:spacing w:val="0"/>
          <w:sz w:val="32"/>
          <w:szCs w:val="24"/>
        </w:rPr>
        <w:t>〕</w:t>
      </w:r>
      <w:r>
        <w:rPr>
          <w:rFonts w:hint="eastAsia" w:ascii="Times New Roman" w:hAnsi="Times New Roman" w:eastAsia="仿宋_GB2312" w:cs="仿宋_GB2312"/>
          <w:color w:val="000000"/>
          <w:spacing w:val="0"/>
          <w:sz w:val="32"/>
          <w:szCs w:val="24"/>
          <w:lang w:val="en-US" w:eastAsia="zh-CN"/>
        </w:rPr>
        <w:t>14</w:t>
      </w:r>
      <w:r>
        <w:rPr>
          <w:rFonts w:hint="eastAsia" w:ascii="Times New Roman" w:hAnsi="Times New Roman" w:eastAsia="仿宋_GB2312" w:cs="仿宋_GB2312"/>
          <w:color w:val="000000"/>
          <w:spacing w:val="0"/>
          <w:sz w:val="32"/>
          <w:szCs w:val="32"/>
          <w:lang w:val="en-US" w:eastAsia="zh-CN"/>
        </w:rPr>
        <w:t>号</w:t>
      </w:r>
    </w:p>
    <w:p>
      <w:pPr>
        <w:keepNext w:val="0"/>
        <w:keepLines w:val="0"/>
        <w:pageBreakBefore w:val="0"/>
        <w:widowControl w:val="0"/>
        <w:shd w:val="clear" w:color="auto" w:fill="auto"/>
        <w:kinsoku/>
        <w:wordWrap/>
        <w:overflowPunct w:val="0"/>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000000"/>
          <w:spacing w:val="0"/>
          <w:sz w:val="32"/>
          <w:szCs w:val="32"/>
          <w:lang w:val="en-US" w:eastAsia="zh-CN"/>
        </w:rPr>
      </w:pPr>
    </w:p>
    <w:p>
      <w:pPr>
        <w:keepNext w:val="0"/>
        <w:keepLines w:val="0"/>
        <w:pageBreakBefore w:val="0"/>
        <w:widowControl w:val="0"/>
        <w:shd w:val="clear" w:color="auto" w:fill="auto"/>
        <w:kinsoku/>
        <w:wordWrap/>
        <w:overflowPunct w:val="0"/>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简体" w:cs="Times New Roman"/>
          <w:snapToGrid w:val="0"/>
          <w:color w:val="000000"/>
          <w:spacing w:val="0"/>
          <w:ker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right="0"/>
        <w:jc w:val="center"/>
        <w:textAlignment w:val="baseline"/>
        <w:outlineLvl w:val="9"/>
        <w:rPr>
          <w:rFonts w:hint="default" w:ascii="Times New Roman" w:hAnsi="Times New Roman" w:eastAsia="方正小标宋简体" w:cs="Times New Roman"/>
          <w:b w:val="0"/>
          <w:bCs w:val="0"/>
          <w:i w:val="0"/>
          <w:caps w:val="0"/>
          <w:color w:val="auto"/>
          <w:spacing w:val="0"/>
          <w:w w:val="100"/>
          <w:sz w:val="44"/>
          <w:szCs w:val="44"/>
          <w:lang w:val="en-US" w:eastAsia="zh-CN"/>
        </w:rPr>
      </w:pPr>
      <w:r>
        <w:rPr>
          <w:rFonts w:hint="default" w:ascii="Times New Roman" w:hAnsi="Times New Roman" w:eastAsia="方正小标宋简体" w:cs="Times New Roman"/>
          <w:b w:val="0"/>
          <w:bCs w:val="0"/>
          <w:i w:val="0"/>
          <w:caps w:val="0"/>
          <w:color w:val="auto"/>
          <w:spacing w:val="0"/>
          <w:w w:val="100"/>
          <w:sz w:val="44"/>
          <w:szCs w:val="44"/>
          <w:lang w:val="en-US" w:eastAsia="zh-CN"/>
        </w:rPr>
        <w:t>郑州市金水区人民政府</w:t>
      </w:r>
      <w:r>
        <w:rPr>
          <w:rFonts w:hint="eastAsia" w:ascii="Times New Roman" w:hAnsi="Times New Roman" w:eastAsia="方正小标宋简体" w:cs="Times New Roman"/>
          <w:b w:val="0"/>
          <w:bCs w:val="0"/>
          <w:i w:val="0"/>
          <w:caps w:val="0"/>
          <w:color w:val="auto"/>
          <w:spacing w:val="0"/>
          <w:w w:val="100"/>
          <w:sz w:val="44"/>
          <w:szCs w:val="44"/>
          <w:lang w:val="en-US" w:eastAsia="zh-CN"/>
        </w:rPr>
        <w:t>办公室</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rPr>
          <w:rFonts w:hint="default" w:ascii="Times New Roman" w:hAnsi="Times New Roman" w:eastAsia="方正小标宋简体" w:cs="Times New Roman"/>
          <w:b w:val="0"/>
          <w:bCs w:val="0"/>
          <w:i w:val="0"/>
          <w:caps w:val="0"/>
          <w:color w:val="auto"/>
          <w:spacing w:val="0"/>
          <w:w w:val="100"/>
          <w:sz w:val="44"/>
          <w:szCs w:val="44"/>
          <w:lang w:val="en-US" w:eastAsia="zh-CN"/>
        </w:rPr>
      </w:pPr>
      <w:r>
        <w:rPr>
          <w:rFonts w:hint="default" w:ascii="Times New Roman" w:hAnsi="Times New Roman" w:eastAsia="方正小标宋简体" w:cs="Times New Roman"/>
          <w:b w:val="0"/>
          <w:bCs w:val="0"/>
          <w:i w:val="0"/>
          <w:caps w:val="0"/>
          <w:color w:val="auto"/>
          <w:spacing w:val="0"/>
          <w:w w:val="100"/>
          <w:sz w:val="44"/>
          <w:szCs w:val="44"/>
          <w:lang w:val="en-US" w:eastAsia="zh-CN"/>
        </w:rPr>
        <w:t>关于印发金水区促进科技创新高质量发展</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rPr>
          <w:rFonts w:hint="default" w:ascii="Times New Roman" w:hAnsi="Times New Roman" w:eastAsia="方正小标宋简体" w:cs="Times New Roman"/>
          <w:b w:val="0"/>
          <w:bCs w:val="0"/>
          <w:i w:val="0"/>
          <w:caps w:val="0"/>
          <w:color w:val="auto"/>
          <w:spacing w:val="0"/>
          <w:w w:val="100"/>
          <w:sz w:val="44"/>
          <w:szCs w:val="44"/>
          <w:lang w:val="en-US" w:eastAsia="zh-CN"/>
        </w:rPr>
      </w:pPr>
      <w:r>
        <w:rPr>
          <w:rFonts w:hint="default" w:ascii="Times New Roman" w:hAnsi="Times New Roman" w:eastAsia="方正小标宋简体" w:cs="Times New Roman"/>
          <w:b w:val="0"/>
          <w:bCs w:val="0"/>
          <w:i w:val="0"/>
          <w:caps w:val="0"/>
          <w:color w:val="auto"/>
          <w:spacing w:val="0"/>
          <w:w w:val="100"/>
          <w:sz w:val="44"/>
          <w:szCs w:val="44"/>
          <w:lang w:val="en-US" w:eastAsia="zh-CN"/>
        </w:rPr>
        <w:t>专项扶持办法（试行）的通知</w:t>
      </w:r>
    </w:p>
    <w:p>
      <w:pPr>
        <w:keepNext w:val="0"/>
        <w:keepLines w:val="0"/>
        <w:pageBreakBefore w:val="0"/>
        <w:widowControl w:val="0"/>
        <w:kinsoku/>
        <w:wordWrap/>
        <w:overflowPunct/>
        <w:topLinePunct w:val="0"/>
        <w:autoSpaceDE/>
        <w:autoSpaceDN/>
        <w:bidi w:val="0"/>
        <w:adjustRightInd/>
        <w:snapToGrid/>
        <w:spacing w:line="600" w:lineRule="exact"/>
        <w:ind w:left="0" w:firstLine="420" w:firstLineChars="200"/>
        <w:rPr>
          <w:rFonts w:hint="default" w:ascii="Times New Roman" w:hAnsi="Times New Roman" w:cs="Times New Roman"/>
          <w:color w:val="auto"/>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各园区管委会，各街道办事处，区人民政府各部门，各有关单位：</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《金水区促进科技创新高质量发展专项扶持办法（试行）》已经区政府同意，现印发给你们，请认真遵照执行。</w:t>
      </w:r>
    </w:p>
    <w:p>
      <w:pPr>
        <w:pStyle w:val="3"/>
        <w:keepNext w:val="0"/>
        <w:keepLines w:val="0"/>
        <w:pageBreakBefore w:val="0"/>
        <w:widowControl w:val="0"/>
        <w:kinsoku/>
        <w:wordWrap/>
        <w:overflowPunct/>
        <w:topLinePunct w:val="0"/>
        <w:autoSpaceDE/>
        <w:autoSpaceDN/>
        <w:bidi w:val="0"/>
        <w:adjustRightInd/>
        <w:snapToGrid/>
        <w:spacing w:line="600" w:lineRule="exact"/>
        <w:ind w:left="0"/>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rPr>
          <w:rFonts w:hint="default" w:ascii="Times New Roman" w:hAnsi="Times New Roman" w:eastAsia="仿宋_GB2312" w:cs="Times New Roman"/>
          <w:color w:val="auto"/>
          <w:sz w:val="32"/>
          <w:szCs w:val="32"/>
          <w:lang w:val="en-US" w:eastAsia="zh-CN"/>
        </w:rPr>
      </w:pPr>
    </w:p>
    <w:p>
      <w:pPr>
        <w:pStyle w:val="3"/>
        <w:keepNext w:val="0"/>
        <w:keepLines w:val="0"/>
        <w:pageBreakBefore w:val="0"/>
        <w:widowControl w:val="0"/>
        <w:kinsoku/>
        <w:wordWrap/>
        <w:overflowPunct/>
        <w:topLinePunct w:val="0"/>
        <w:autoSpaceDE/>
        <w:autoSpaceDN/>
        <w:bidi w:val="0"/>
        <w:adjustRightInd/>
        <w:snapToGrid/>
        <w:spacing w:line="600" w:lineRule="exact"/>
        <w:ind w:left="0"/>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0"/>
        <w:jc w:val="right"/>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2021年6月</w:t>
      </w:r>
      <w:r>
        <w:rPr>
          <w:rFonts w:hint="eastAsia" w:ascii="Times New Roman" w:hAnsi="Times New Roman" w:eastAsia="仿宋_GB2312" w:cs="Times New Roman"/>
          <w:color w:val="auto"/>
          <w:sz w:val="32"/>
          <w:szCs w:val="32"/>
          <w:lang w:val="en-US" w:eastAsia="zh-CN"/>
        </w:rPr>
        <w:t>30</w:t>
      </w:r>
      <w:r>
        <w:rPr>
          <w:rFonts w:hint="default" w:ascii="Times New Roman" w:hAnsi="Times New Roman" w:eastAsia="仿宋_GB2312" w:cs="Times New Roman"/>
          <w:color w:val="auto"/>
          <w:sz w:val="32"/>
          <w:szCs w:val="32"/>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600" w:lineRule="exact"/>
        <w:ind w:left="0"/>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baseline"/>
        <w:outlineLvl w:val="9"/>
        <w:rPr>
          <w:rFonts w:hint="default" w:ascii="Times New Roman" w:hAnsi="Times New Roman" w:eastAsia="方正小标宋简体" w:cs="Times New Roman"/>
          <w:b w:val="0"/>
          <w:bCs w:val="0"/>
          <w:i w:val="0"/>
          <w:caps w:val="0"/>
          <w:color w:val="auto"/>
          <w:spacing w:val="0"/>
          <w:w w:val="100"/>
          <w:sz w:val="44"/>
          <w:szCs w:val="44"/>
          <w:lang w:val="en-US" w:eastAsia="zh-CN"/>
        </w:rPr>
      </w:pPr>
      <w:r>
        <w:rPr>
          <w:rFonts w:hint="default" w:ascii="Times New Roman" w:hAnsi="Times New Roman" w:eastAsia="方正小标宋简体" w:cs="Times New Roman"/>
          <w:b w:val="0"/>
          <w:bCs w:val="0"/>
          <w:i w:val="0"/>
          <w:caps w:val="0"/>
          <w:color w:val="auto"/>
          <w:spacing w:val="0"/>
          <w:w w:val="100"/>
          <w:sz w:val="44"/>
          <w:szCs w:val="44"/>
          <w:lang w:val="en-US" w:eastAsia="zh-CN"/>
        </w:rPr>
        <w:t>金水区促进科技创新高质量发展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baseline"/>
        <w:outlineLvl w:val="9"/>
        <w:rPr>
          <w:rFonts w:hint="default" w:ascii="Times New Roman" w:hAnsi="Times New Roman" w:eastAsia="方正小标宋简体" w:cs="Times New Roman"/>
          <w:b w:val="0"/>
          <w:bCs w:val="0"/>
          <w:i w:val="0"/>
          <w:caps w:val="0"/>
          <w:color w:val="auto"/>
          <w:spacing w:val="0"/>
          <w:w w:val="100"/>
          <w:sz w:val="44"/>
          <w:szCs w:val="44"/>
          <w:lang w:val="en-US" w:eastAsia="zh-CN"/>
        </w:rPr>
      </w:pPr>
      <w:r>
        <w:rPr>
          <w:rFonts w:hint="default" w:ascii="Times New Roman" w:hAnsi="Times New Roman" w:eastAsia="方正小标宋简体" w:cs="Times New Roman"/>
          <w:b w:val="0"/>
          <w:bCs w:val="0"/>
          <w:i w:val="0"/>
          <w:caps w:val="0"/>
          <w:color w:val="auto"/>
          <w:spacing w:val="0"/>
          <w:w w:val="100"/>
          <w:sz w:val="44"/>
          <w:szCs w:val="44"/>
          <w:lang w:val="en-US" w:eastAsia="zh-CN"/>
        </w:rPr>
        <w:t>专项扶持办法（试行）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rightChars="0"/>
        <w:jc w:val="center"/>
        <w:textAlignment w:val="baseline"/>
        <w:outlineLvl w:val="9"/>
        <w:rPr>
          <w:rFonts w:hint="default" w:ascii="Times New Roman" w:hAnsi="Times New Roman" w:cs="Times New Roman"/>
          <w:color w:val="auto"/>
          <w:lang w:val="en-US" w:eastAsia="zh-CN"/>
        </w:rPr>
      </w:pPr>
      <w:r>
        <w:rPr>
          <w:rFonts w:hint="default" w:ascii="Times New Roman" w:hAnsi="Times New Roman" w:eastAsia="黑体" w:cs="Times New Roman"/>
          <w:b w:val="0"/>
          <w:i w:val="0"/>
          <w:caps w:val="0"/>
          <w:color w:val="auto"/>
          <w:spacing w:val="0"/>
          <w:w w:val="100"/>
          <w:sz w:val="32"/>
          <w:szCs w:val="32"/>
          <w:lang w:val="en-US" w:eastAsia="zh-CN"/>
        </w:rPr>
        <w:t>第一章  总则</w:t>
      </w:r>
    </w:p>
    <w:p>
      <w:pPr>
        <w:keepNext w:val="0"/>
        <w:keepLines w:val="0"/>
        <w:pageBreakBefore w:val="0"/>
        <w:widowControl w:val="0"/>
        <w:numPr>
          <w:ilvl w:val="0"/>
          <w:numId w:val="1"/>
        </w:numP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 xml:space="preserve"> 为进一步强化实施创新驱动发展战略，加快创新智城、品质金水建设，全面提升全区科技创新能力，为金水区经济社会高质量发展提供强有力的创新支撑，根据《中共河南省委 河南省人民政府印发&lt;关于促进郑洛新国家自主创新示范区高质量发展的若干政策措施&gt;的通知》（豫发〔2020〕21号）《中共郑州市委 郑州市人民政府关于全面加快科技创新推动经济高质量发展的若干意见》（郑发〔2019〕4号），结合金水区实际，制定本办法。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r>
        <w:rPr>
          <w:rFonts w:hint="default" w:ascii="Times New Roman" w:hAnsi="Times New Roman" w:eastAsia="黑体" w:cs="Times New Roman"/>
          <w:b w:val="0"/>
          <w:i w:val="0"/>
          <w:caps w:val="0"/>
          <w:color w:val="auto"/>
          <w:spacing w:val="0"/>
          <w:w w:val="100"/>
          <w:sz w:val="32"/>
          <w:szCs w:val="32"/>
          <w:lang w:val="en-US" w:eastAsia="zh-CN"/>
        </w:rPr>
        <w:t>第二章  支持创新空间建设</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 xml:space="preserve"> 实行孵化载体区级贡献奖励。根据载体实际服务能力和入孵企业质量，对年度区级经济贡献达到200万元以上的载</w:t>
      </w:r>
      <w:bookmarkStart w:id="0" w:name="_GoBack"/>
      <w:r>
        <w:rPr>
          <w:rFonts w:hint="default" w:ascii="Times New Roman" w:hAnsi="Times New Roman" w:eastAsia="仿宋_GB2312" w:cs="Times New Roman"/>
          <w:b w:val="0"/>
          <w:i w:val="0"/>
          <w:caps w:val="0"/>
          <w:color w:val="auto"/>
          <w:spacing w:val="0"/>
          <w:w w:val="100"/>
          <w:sz w:val="32"/>
          <w:szCs w:val="32"/>
          <w:lang w:val="en-US" w:eastAsia="zh-CN"/>
        </w:rPr>
        <w:t>体（非园区类），超出部分按其区级经济贡献的80%给予奖补。</w:t>
      </w:r>
    </w:p>
    <w:bookmarkEnd w:id="0"/>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 xml:space="preserve"> 鼓励孵化载体资质提升。在区级贡献奖励基础上，对被认定为国家级综合类孵化器且认定一年后经区级考核达标的，一次性给予最高100万元补助；被认定为国家级综合类众创空间、星创天地且认定一年后经区级考核达标的，一次性给予最高50万元补助。</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 xml:space="preserve"> 突出孵化载体产业培育。围绕金水区主导产业，培育1—2家专业化孵化载体，对被认定为国家级专业化孵化器、专业化众创空间，且认定一年后经区级考核达标的，一次性给予最高200万元补助。</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cs="Times New Roman"/>
          <w:color w:val="auto"/>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 xml:space="preserve"> 提高孵化载体入孵质量。入孵企业达到毕业条件，且毕业后未迁出金水区的，每培育一家给予载体2万元补助；入孵企业参加“郑创汇”等品牌大赛获奖，或促成大赛获奖项目在金水区落地的，每获奖或落地1家给予载体1万元补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r>
        <w:rPr>
          <w:rFonts w:hint="default" w:ascii="Times New Roman" w:hAnsi="Times New Roman" w:eastAsia="黑体" w:cs="Times New Roman"/>
          <w:b w:val="0"/>
          <w:i w:val="0"/>
          <w:caps w:val="0"/>
          <w:color w:val="auto"/>
          <w:spacing w:val="0"/>
          <w:w w:val="100"/>
          <w:sz w:val="32"/>
          <w:szCs w:val="32"/>
          <w:lang w:val="en-US" w:eastAsia="zh-CN"/>
        </w:rPr>
        <w:t>第三章  强化创新主体建设</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 xml:space="preserve"> 实施科技企业“十百千”工程。“十四五”期间，重点培育10家以上省级创新龙头企业，100家以上省级“瞪羚”（科技小巨人）企业，新增1000家以上高新技术企业。</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通过河南省创新龙头企业认定的，给予最高200万元补助；通过河南省“瞪羚”（科技小巨人）企业认定的，给予最高100万元补助。</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cs="Times New Roman"/>
          <w:b w:val="0"/>
          <w:i w:val="0"/>
          <w:caps w:val="0"/>
          <w:color w:val="auto"/>
          <w:spacing w:val="0"/>
          <w:w w:val="100"/>
          <w:sz w:val="20"/>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对首次通过国家高新技术企业认定的企业，根据上年度销售收入等指标，给予最高60万元补助；经重新认定的高新技术企业，给予5万元补助；对区外整体迁入的高新技术企业落地一年后，仍在有效期内的，参照首次认定的高新技术企业补助标准给予支持。</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kern w:val="2"/>
          <w:sz w:val="32"/>
          <w:szCs w:val="32"/>
          <w:lang w:val="en-US" w:eastAsia="zh-CN" w:bidi="ar-SA"/>
        </w:rPr>
      </w:pPr>
      <w:r>
        <w:rPr>
          <w:rFonts w:hint="default" w:ascii="Times New Roman" w:hAnsi="Times New Roman" w:eastAsia="仿宋_GB2312" w:cs="Times New Roman"/>
          <w:b w:val="0"/>
          <w:i w:val="0"/>
          <w:caps w:val="0"/>
          <w:color w:val="auto"/>
          <w:spacing w:val="0"/>
          <w:w w:val="100"/>
          <w:sz w:val="32"/>
          <w:szCs w:val="32"/>
          <w:lang w:val="en-US" w:eastAsia="zh-CN"/>
        </w:rPr>
        <w:t xml:space="preserve"> 推动高新技术企业提档升级。</w:t>
      </w:r>
      <w:r>
        <w:rPr>
          <w:rFonts w:hint="default" w:ascii="Times New Roman" w:hAnsi="Times New Roman" w:eastAsia="仿宋_GB2312" w:cs="Times New Roman"/>
          <w:b w:val="0"/>
          <w:i w:val="0"/>
          <w:caps w:val="0"/>
          <w:color w:val="auto"/>
          <w:spacing w:val="0"/>
          <w:w w:val="100"/>
          <w:kern w:val="2"/>
          <w:sz w:val="32"/>
          <w:szCs w:val="32"/>
          <w:lang w:val="en-US" w:eastAsia="zh-CN" w:bidi="ar-SA"/>
        </w:rPr>
        <w:t>对于年度销售收入首次超过5000万元，且年度销售收入或利润总额增幅达到15%以上的高新技术企业，给予10万元一次性奖补；对于年度销售收入首次超过3亿元，且年度销售收入或利润总额增幅达到10%以上的高新技术企业，给予20万元一次性奖补；对于年度销售收入首次超过10亿元、年度销售收入或利润总额正增长，且建有省级研发平台的高新技术企业，给予30万元一次性奖补。</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kern w:val="2"/>
          <w:sz w:val="32"/>
          <w:szCs w:val="32"/>
          <w:lang w:val="en-US" w:eastAsia="zh-CN" w:bidi="ar-SA"/>
        </w:rPr>
      </w:pPr>
      <w:r>
        <w:rPr>
          <w:rFonts w:hint="default" w:ascii="Times New Roman" w:hAnsi="Times New Roman" w:eastAsia="仿宋_GB2312" w:cs="Times New Roman"/>
          <w:b w:val="0"/>
          <w:i w:val="0"/>
          <w:caps w:val="0"/>
          <w:color w:val="auto"/>
          <w:spacing w:val="0"/>
          <w:w w:val="100"/>
          <w:sz w:val="32"/>
          <w:szCs w:val="32"/>
          <w:lang w:val="en-US" w:eastAsia="zh-CN"/>
        </w:rPr>
        <w:t xml:space="preserve"> 鼓励企事业单位持续加大研发投入。对如实填报研发统计报表的辖区企事业单位按照上年度享受市级研发费用补助总额配套给予10%、最高100万元补助；对已填报研发费用统计报表且核定研发费用在1000万元以上，但因客观因素无法享受省、市研发费用补助资金的企业，参照上级支持政策标准给予最高300万元补助。</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kern w:val="2"/>
          <w:sz w:val="32"/>
          <w:szCs w:val="32"/>
          <w:lang w:val="en-US" w:eastAsia="zh-CN" w:bidi="ar-SA"/>
        </w:rPr>
      </w:pPr>
      <w:r>
        <w:rPr>
          <w:rFonts w:hint="default" w:ascii="Times New Roman" w:hAnsi="Times New Roman" w:eastAsia="仿宋_GB2312" w:cs="Times New Roman"/>
          <w:b w:val="0"/>
          <w:i w:val="0"/>
          <w:caps w:val="0"/>
          <w:color w:val="auto"/>
          <w:spacing w:val="0"/>
          <w:w w:val="100"/>
          <w:sz w:val="32"/>
          <w:szCs w:val="32"/>
          <w:lang w:val="en-US" w:eastAsia="zh-CN"/>
        </w:rPr>
        <w:t xml:space="preserve"> 鼓励企事业单位积极纳入研发统计。</w:t>
      </w:r>
      <w:r>
        <w:rPr>
          <w:rFonts w:hint="default" w:ascii="Times New Roman" w:hAnsi="Times New Roman" w:eastAsia="仿宋_GB2312" w:cs="Times New Roman"/>
          <w:b w:val="0"/>
          <w:i w:val="0"/>
          <w:caps w:val="0"/>
          <w:color w:val="auto"/>
          <w:spacing w:val="0"/>
          <w:w w:val="100"/>
          <w:kern w:val="2"/>
          <w:sz w:val="32"/>
          <w:szCs w:val="32"/>
          <w:lang w:val="en-US" w:eastAsia="zh-CN" w:bidi="ar-SA"/>
        </w:rPr>
        <w:t>对按要求完成年度研发费用统计工作，且核定研发费用在100万元以上的企事业单位数据填报归集人员给予最高2000元补助。</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cs="Times New Roman"/>
          <w:color w:val="auto"/>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对上年度纳入研发统计范围但研发费用统计为零的四上企业、高等院校、科研院所和医院，科技部门不支持各类项目和补助，发改、工信部门不支持除新建投资项目以外的各类项目和补助，不支持市级以上工程（技术）研究中心、重点（工程）实验室、企业技术中心等创新平台认定。</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cs="Times New Roman"/>
          <w:color w:val="auto"/>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 xml:space="preserve"> 试行重大项目“揭榜挂帅”模式。围绕全区主导产业，聚焦产业关键核心技术及重大应急攻关项目，实施一批重大科技项目攻关，对“挂帅”区委区政府发榜项目的，分批次给予研发资金支持。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r>
        <w:rPr>
          <w:rFonts w:hint="default" w:ascii="Times New Roman" w:hAnsi="Times New Roman" w:eastAsia="黑体" w:cs="Times New Roman"/>
          <w:b w:val="0"/>
          <w:i w:val="0"/>
          <w:caps w:val="0"/>
          <w:color w:val="auto"/>
          <w:spacing w:val="0"/>
          <w:w w:val="100"/>
          <w:sz w:val="32"/>
          <w:szCs w:val="32"/>
          <w:lang w:val="en-US" w:eastAsia="zh-CN"/>
        </w:rPr>
        <w:t>第四章  支持创新平台建设</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 xml:space="preserve"> 鼓励建设高层次创新平台。鼓励辖区企事业单位根据自身优势组建研发平台，对新认定的国家、省、市级工程技术研究中心、重点实验室、制造业创新中心、企业技术中心，分别给予200万元、50万元、10万元一次性补助；对符合国家重大战略性技术方向、符合金水区产业未来发展方向的国家级工程技术研究中心（重点实验室），经认定后一次性给予500万元补助；对整建制迁入金水区的国家级工程技术研究中心（重点实验室），经认定后一次性给予500万元补助。</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 xml:space="preserve"> 支持新型研发机构建设。支持国内外知名高校、科研院所等企事业单位在金水区组建新型研发机构，鼓励社会力量兴办新型研发机构，对于新获批且利用非财政资金组建的新型研发机构，一次性给予最高50万元补助。对新引进的政府主导的新型研发机构，经获批后，连续5年给予每年最高500万元的运营经费支持。</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 xml:space="preserve"> 加强创新联动平台建设。鼓励校（院）企联建、共建研发平台，对建设省级以上校（院）企联合实验室、创新中心、研究中心、开放创新平台、公共服务平台、重大科技基础设施、科学仪器中心、大科学装置等创新平台的，给予牵头部门最高200万元补助。选择部分街道开展“三区联建”试点，给予一定的政策支持。</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cs="Times New Roman"/>
          <w:b w:val="0"/>
          <w:i w:val="0"/>
          <w:caps w:val="0"/>
          <w:color w:val="auto"/>
          <w:spacing w:val="0"/>
          <w:w w:val="100"/>
          <w:sz w:val="20"/>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支持创新主体开展技术转移。对在金水区注册的高校、科研院所、新型研发机构、企业等主体开展科技成果转移转化，依据上年度经认定登记的技术合同技术交易额的实际到账额，给予技术开发、技术转让、技术许可合同1%的补助，技术服务、技术咨询合同0.5%的补助，单个合同最高不超过100万元，同一单位年度最高不超过200万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cs="Times New Roman"/>
          <w:b w:val="0"/>
          <w:i w:val="0"/>
          <w:caps w:val="0"/>
          <w:color w:val="auto"/>
          <w:spacing w:val="0"/>
          <w:w w:val="100"/>
          <w:sz w:val="20"/>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 xml:space="preserve"> 加强技术转移机构引育。支持高等学校、科研院所、企业在金水区设立技术转移示范（服务）机构，对新认定的国家级和省级技术转移示范机构、市级技术转移服务机构，分别给予50万元、30万元、10万元一次性补助。</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r>
        <w:rPr>
          <w:rFonts w:hint="default" w:ascii="Times New Roman" w:hAnsi="Times New Roman" w:eastAsia="黑体" w:cs="Times New Roman"/>
          <w:b w:val="0"/>
          <w:i w:val="0"/>
          <w:caps w:val="0"/>
          <w:color w:val="auto"/>
          <w:spacing w:val="0"/>
          <w:w w:val="100"/>
          <w:sz w:val="32"/>
          <w:szCs w:val="32"/>
          <w:lang w:val="en-US" w:eastAsia="zh-CN"/>
        </w:rPr>
        <w:t>第五章  强化创新人才保障</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加强高层次人才团队建设。落实郑州人才新政，对引培的高端创业团队项目给予最高1000万元资助，创业领军团队项目给予最高250万元资助，创新领军团队项目给予最高150万元资助。</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加强专业类人才团队建设。依托“领创新赛道”项目平台，加快“专业领军人才、关键性技术人才和企业实用人才”落地。以新媒体直播为主要方式，组织开展创业实战、企业沙龙等活动，带动产业项目和实用人才落地。</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cs="Times New Roman"/>
          <w:b w:val="0"/>
          <w:i w:val="0"/>
          <w:caps w:val="0"/>
          <w:color w:val="auto"/>
          <w:spacing w:val="0"/>
          <w:w w:val="100"/>
          <w:sz w:val="21"/>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加强中小微企业创业者培训。充分利用各类平台载体，创新开展培育活动，帮助中小微企业创业者快速成长。对取得显著成效的，给予平台载体相应的政策支持。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jc w:val="center"/>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right="0"/>
        <w:jc w:val="center"/>
        <w:textAlignment w:val="baseline"/>
        <w:outlineLvl w:val="9"/>
        <w:rPr>
          <w:rFonts w:hint="default" w:ascii="Times New Roman" w:hAnsi="Times New Roman" w:eastAsia="仿宋_GB2312" w:cs="Times New Roman"/>
          <w:b w:val="0"/>
          <w:bCs w:val="0"/>
          <w:i w:val="0"/>
          <w:caps w:val="0"/>
          <w:color w:val="auto"/>
          <w:spacing w:val="0"/>
          <w:w w:val="100"/>
          <w:sz w:val="21"/>
          <w:szCs w:val="21"/>
          <w:lang w:val="en-US" w:eastAsia="zh-CN"/>
        </w:rPr>
      </w:pPr>
      <w:r>
        <w:rPr>
          <w:rFonts w:hint="default" w:ascii="Times New Roman" w:hAnsi="Times New Roman" w:eastAsia="黑体" w:cs="Times New Roman"/>
          <w:b w:val="0"/>
          <w:i w:val="0"/>
          <w:caps w:val="0"/>
          <w:color w:val="auto"/>
          <w:spacing w:val="0"/>
          <w:w w:val="100"/>
          <w:sz w:val="32"/>
          <w:szCs w:val="32"/>
          <w:lang w:val="en-US" w:eastAsia="zh-CN"/>
        </w:rPr>
        <w:t>第六章  强化知识产权保护运用</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支持知识产权创造。国内（含港澳台地区）发明专利获得授权的，每项补助所缴官方费用的50%，被国家知识产权局认定为高价值发明专利的，每项额外补助3000元；获得国外发明专利授权的，美国、日本、欧洲的每项补助5万元，其他国家和地区的每项补助2万元，每件专利最高补助3个国家；通过马德里体系途径获得其他国家或地区（比荷卢按一个国家计算）商标注册的，每项补助3000元；获得植物新品种权的，每项补助3000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支持知识产权保护。引导企业投保专利保险，对获得市级以上专利奖的专利和各级知识产权领军、示范、优势企业的专利（不超过10件），保费给予全额补贴，每家企业每年最高补助5万元；其他科技型企业投保发明专利按所缴保费的50%给予补贴，每家企业每年最高补助1万元。</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企业在专利、商标受到不法侵害或不实侵权指控时，开展维权行动并胜诉的，按实际支付的维权代理费的50%给予补助，每起维权案件最高补助5万元，每家企业每年最高补助10万元。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支持知识产权管理。对通过《企业知识产权管理规范》（GB/T29490—2013）国家标准认证的企业，且拥有有效发明专利5件以上的，对开展贯标所发生的代理费、认证费给予50%的补助，最高不超过5万元。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支持专利产品产业化。企业将其依法拥有的发明专利实施转化的，其专利产品2年内年销售收入达到100万元以上的，给予销售收入5%的一次性补助，每家企业每年最高补助50万元。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支持知识产权证券化。对推动发行知识产权证券化产品的知识产权运营服务机构、证券公司（券商）、知识产权所有人给予补助，对成功发行知识产权证券化产品融资达500万元以上的，每单给予运营服务机构、证券公司（券商）、知识产权所有人各10万元补助，每家单位每年最高补助50万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支持购买专业服务。企业在知识产权创造过程中，有发生购买相关信息服务的，按照实际发生费用50%的比例给予补助，每家企业每年最高补助5万元。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支持高价值专利培育。推动高价值专利的创造、培育、转化、运营，开展高价值专利的培育和运营，对获批市级以上高价值专利培育项目的单位，给予50%的配套补助。</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对从区外购买维持年份在8年以上的发明专利用于再次研发或转化的企业，按照交易价格的60%予以补助，每件最高补助1万元，每家企业每年最高补助5万元。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支持企业创先争优。对获得河南省专利特等奖、一等奖、二等奖、三等奖的，分别给予20万元、10万元、5万元、3万元一次性补助；对获得“中国专利金奖”、“中国专利银奖”、“中国专利优秀奖”的，分别给予30万元、20万元，10万元一次性补助；对获得“中国外观设计金奖”、“中国外观设计银奖”、“中国外观设计优秀奖”的，分别给予20万元、10万元、5万元一次性补助。</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对首次认定的市级知识产权领军企业、示范企业、优势企业分别给予15万元、10万元、5万元一次性补助；对首次认定的省级知识产权领军企业、示范企业、优势企业分别给予30万元、20万元、10万元一次性补助；对首次认定的国家级知识产权示范企业、优势企业分别给予50万元、30万元一次性补助。</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支持服务机构能力提升。当年统计达到规模以上或对本地区地方经济发展贡献10万元以上的知识产权服务机构，一次性给予5万元补助；服务机构代理的专利获得国家级、省级专利奖的，每件分别给予1万元、5000元补助；对新认定和新引进（整体迁入）的全国知识产权服务品牌机构，一次性给予50万元补助；新引进全国知识产权服务品牌机构全资子公司，一次性给予10万元补助，单个品牌机构仅补助一家全资子公司。</w:t>
      </w:r>
    </w:p>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baseline"/>
        <w:outlineLvl w:val="9"/>
        <w:rPr>
          <w:rFonts w:hint="default" w:ascii="Times New Roman" w:hAnsi="Times New Roman" w:eastAsia="仿宋_GB2312" w:cs="Times New Roman"/>
          <w:b w:val="0"/>
          <w:i w:val="0"/>
          <w:caps w:val="0"/>
          <w:color w:val="auto"/>
          <w:spacing w:val="0"/>
          <w:w w:val="100"/>
          <w:sz w:val="32"/>
          <w:szCs w:val="32"/>
          <w:lang w:val="en-US" w:eastAsia="zh-CN"/>
        </w:rPr>
      </w:pPr>
      <w:r>
        <w:rPr>
          <w:rFonts w:hint="default" w:ascii="Times New Roman" w:hAnsi="Times New Roman" w:eastAsia="仿宋_GB2312" w:cs="Times New Roman"/>
          <w:b w:val="0"/>
          <w:i w:val="0"/>
          <w:caps w:val="0"/>
          <w:color w:val="auto"/>
          <w:spacing w:val="0"/>
          <w:w w:val="100"/>
          <w:sz w:val="32"/>
          <w:szCs w:val="32"/>
          <w:lang w:val="en-US" w:eastAsia="zh-CN"/>
        </w:rPr>
        <w:t>知识产权服务机构一次性投入1万元以上购买自主品牌专利、商标数据库、检索、管理系统（或账号）的，按实际发生费用的50%给予补助，每家机构最高补助5万元。</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cs="Times New Roman"/>
          <w:color w:val="auto"/>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支持知识产权高端人才培育。被认定为国家级、省级知识产权高层次人才的，分别给予其所在单位20万元、10万元一次性补助，其中50%的资金用于补助获评人才。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right="0"/>
        <w:jc w:val="center"/>
        <w:textAlignment w:val="baseline"/>
        <w:outlineLvl w:val="9"/>
        <w:rPr>
          <w:rFonts w:hint="default" w:ascii="Times New Roman" w:hAnsi="Times New Roman" w:eastAsia="黑体" w:cs="Times New Roman"/>
          <w:b w:val="0"/>
          <w:i w:val="0"/>
          <w:caps w:val="0"/>
          <w:color w:val="auto"/>
          <w:spacing w:val="0"/>
          <w:w w:val="100"/>
          <w:sz w:val="32"/>
          <w:szCs w:val="32"/>
          <w:lang w:val="en-US" w:eastAsia="zh-CN"/>
        </w:rPr>
      </w:pPr>
      <w:r>
        <w:rPr>
          <w:rFonts w:hint="default" w:ascii="Times New Roman" w:hAnsi="Times New Roman" w:eastAsia="黑体" w:cs="Times New Roman"/>
          <w:b w:val="0"/>
          <w:i w:val="0"/>
          <w:caps w:val="0"/>
          <w:color w:val="auto"/>
          <w:spacing w:val="0"/>
          <w:w w:val="100"/>
          <w:sz w:val="32"/>
          <w:szCs w:val="32"/>
          <w:lang w:val="en-US" w:eastAsia="zh-CN"/>
        </w:rPr>
        <w:t>第七章  附则</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本办法涉及政策条款与</w:t>
      </w:r>
      <w:r>
        <w:rPr>
          <w:rFonts w:hint="default" w:ascii="Times New Roman" w:hAnsi="Times New Roman" w:eastAsia="仿宋_GB2312" w:cs="Times New Roman"/>
          <w:color w:val="auto"/>
          <w:sz w:val="32"/>
          <w:szCs w:val="32"/>
          <w:lang w:val="en-US" w:eastAsia="zh-CN"/>
        </w:rPr>
        <w:t>金水区</w:t>
      </w:r>
      <w:r>
        <w:rPr>
          <w:rFonts w:hint="default" w:ascii="Times New Roman" w:hAnsi="Times New Roman" w:eastAsia="仿宋_GB2312" w:cs="Times New Roman"/>
          <w:color w:val="auto"/>
          <w:sz w:val="32"/>
          <w:szCs w:val="32"/>
        </w:rPr>
        <w:t>其他政策相重叠的，按照就高不重复的原则予以支持。</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baseline"/>
        <w:outlineLvl w:val="9"/>
        <w:rPr>
          <w:rFonts w:hint="default" w:ascii="Times New Roman" w:hAnsi="Times New Roman" w:eastAsia="仿宋_GB2312" w:cs="Times New Roman"/>
          <w:b w:val="0"/>
          <w:bCs w:val="0"/>
          <w:i w:val="0"/>
          <w:cap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sz w:val="32"/>
          <w:szCs w:val="32"/>
          <w:lang w:val="en-US" w:eastAsia="zh-CN"/>
        </w:rPr>
        <w:t xml:space="preserve"> 本办法自发布之日起施行。</w:t>
      </w: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sectPr>
          <w:footerReference r:id="rId3" w:type="default"/>
          <w:pgSz w:w="11850" w:h="16838"/>
          <w:pgMar w:top="1871" w:right="1474" w:bottom="1701" w:left="1474" w:header="851" w:footer="1304" w:gutter="0"/>
          <w:pgNumType w:fmt="decimal"/>
          <w:cols w:space="0" w:num="1"/>
          <w:rtlGutter w:val="0"/>
          <w:docGrid w:type="lines" w:linePitch="312" w:charSpace="0"/>
        </w:sectPr>
      </w:pPr>
    </w:p>
    <w:p>
      <w:pPr>
        <w:rPr>
          <w:rFonts w:hint="default"/>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sectPr>
          <w:footerReference r:id="rId4" w:type="default"/>
          <w:pgSz w:w="11850" w:h="16838"/>
          <w:pgMar w:top="1871" w:right="1474" w:bottom="1701" w:left="1474" w:header="851" w:footer="1304" w:gutter="0"/>
          <w:pgNumType w:fmt="decimal"/>
          <w:cols w:space="0" w:num="1"/>
          <w:rtlGutter w:val="0"/>
          <w:docGrid w:type="lines" w:linePitch="312" w:charSpace="0"/>
        </w:sectPr>
      </w:pPr>
    </w:p>
    <w:p>
      <w:pPr>
        <w:rPr>
          <w:rFonts w:hint="default"/>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rPr>
          <w:rFonts w:hint="default" w:ascii="Times New Roman" w:hAnsi="Times New Roman" w:eastAsia="仿宋_GB2312" w:cs="Times New Roman"/>
          <w:b w:val="0"/>
          <w:bCs w:val="0"/>
          <w:i w:val="0"/>
          <w:caps w:val="0"/>
          <w:color w:val="auto"/>
          <w:spacing w:val="0"/>
          <w:w w:val="100"/>
          <w:sz w:val="32"/>
          <w:szCs w:val="32"/>
          <w:lang w:val="en-US" w:eastAsia="zh-CN"/>
        </w:rPr>
      </w:pPr>
    </w:p>
    <w:p>
      <w:pPr>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default" w:ascii="Times New Roman" w:hAnsi="Times New Roman" w:eastAsia="仿宋_GB2312" w:cs="Times New Roman"/>
          <w:b w:val="0"/>
          <w:bCs w:val="0"/>
          <w:i w:val="0"/>
          <w:caps w:val="0"/>
          <w:color w:val="auto"/>
          <w:spacing w:val="0"/>
          <w:w w:val="100"/>
          <w:sz w:val="32"/>
          <w:szCs w:val="32"/>
          <w:lang w:val="en-US" w:eastAsia="zh-CN"/>
        </w:rPr>
      </w:pPr>
    </w:p>
    <w:p>
      <w:pPr>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default" w:ascii="Times New Roman" w:hAnsi="Times New Roman" w:eastAsia="仿宋_GB2312" w:cs="Times New Roman"/>
          <w:b w:val="0"/>
          <w:bCs w:val="0"/>
          <w:i w:val="0"/>
          <w:caps w:val="0"/>
          <w:color w:val="auto"/>
          <w:spacing w:val="0"/>
          <w:w w:val="100"/>
          <w:sz w:val="32"/>
          <w:szCs w:val="32"/>
          <w:lang w:val="en-US" w:eastAsia="zh-CN"/>
        </w:rPr>
      </w:pPr>
    </w:p>
    <w:p>
      <w:pPr>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pageBreakBefore w:val="0"/>
        <w:widowControl w:val="0"/>
        <w:kinsoku/>
        <w:wordWrap/>
        <w:overflowPunct/>
        <w:topLinePunct w:val="0"/>
        <w:autoSpaceDE/>
        <w:autoSpaceDN/>
        <w:bidi w:val="0"/>
        <w:adjustRightInd/>
        <w:snapToGrid/>
        <w:spacing w:line="550" w:lineRule="exact"/>
        <w:ind w:left="0" w:leftChars="0" w:right="0" w:rightChars="0" w:firstLine="0" w:firstLineChars="0"/>
        <w:jc w:val="both"/>
        <w:textAlignment w:val="auto"/>
        <w:rPr>
          <w:rFonts w:hint="default" w:ascii="Times New Roman" w:hAnsi="Times New Roman" w:eastAsia="仿宋_GB2312" w:cs="Times New Roman"/>
          <w:b w:val="0"/>
          <w:bCs w:val="0"/>
          <w:i w:val="0"/>
          <w:caps w:val="0"/>
          <w:color w:val="auto"/>
          <w:spacing w:val="0"/>
          <w:w w:val="100"/>
          <w:sz w:val="32"/>
          <w:szCs w:val="32"/>
          <w:lang w:val="en-US" w:eastAsia="zh-CN"/>
        </w:rPr>
      </w:pPr>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rPr>
          <w:rFonts w:hint="default" w:ascii="Times New Roman" w:hAnsi="Times New Roman" w:eastAsia="仿宋_GB2312" w:cs="Times New Roman"/>
          <w:b w:val="0"/>
          <w:bCs w:val="0"/>
          <w:i w:val="0"/>
          <w:caps w:val="0"/>
          <w:color w:val="auto"/>
          <w:spacing w:val="0"/>
          <w:w w:val="100"/>
          <w:sz w:val="32"/>
          <w:szCs w:val="32"/>
          <w:lang w:val="en-US" w:eastAsia="zh-CN"/>
        </w:rPr>
      </w:pPr>
    </w:p>
    <w:p>
      <w:pPr>
        <w:pStyle w:val="2"/>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rPr>
          <w:rFonts w:hint="default"/>
          <w:lang w:val="en-US" w:eastAsia="zh-CN"/>
        </w:rPr>
      </w:pPr>
    </w:p>
    <w:p>
      <w:pPr>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rPr>
          <w:rFonts w:hint="default"/>
          <w:lang w:val="en-US" w:eastAsia="zh-CN"/>
        </w:rPr>
      </w:pPr>
    </w:p>
    <w:p>
      <w:pPr>
        <w:pStyle w:val="2"/>
        <w:keepNext/>
        <w:keepLines/>
        <w:pageBreakBefore w:val="0"/>
        <w:widowControl w:val="0"/>
        <w:kinsoku/>
        <w:wordWrap/>
        <w:overflowPunct/>
        <w:topLinePunct w:val="0"/>
        <w:autoSpaceDE/>
        <w:autoSpaceDN/>
        <w:bidi w:val="0"/>
        <w:adjustRightInd/>
        <w:snapToGrid/>
        <w:spacing w:before="340" w:beforeLines="0" w:after="330" w:afterLines="0" w:line="520" w:lineRule="exact"/>
        <w:ind w:left="0" w:leftChars="0" w:right="0" w:rightChars="0" w:firstLine="0" w:firstLineChars="0"/>
        <w:jc w:val="both"/>
        <w:textAlignment w:val="auto"/>
        <w:outlineLvl w:val="0"/>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right="0" w:rightChars="0" w:firstLine="280" w:firstLineChars="100"/>
        <w:jc w:val="both"/>
        <w:textAlignment w:val="auto"/>
        <w:outlineLvl w:val="9"/>
        <w:rPr>
          <w:rFonts w:hint="eastAsia" w:ascii="Times New Roman" w:hAnsi="Times New Roman" w:eastAsia="仿宋_GB2312" w:cs="仿宋_GB2312"/>
          <w:color w:val="000000"/>
          <w:spacing w:val="0"/>
          <w:w w:val="100"/>
          <w:sz w:val="28"/>
          <w:szCs w:val="28"/>
        </w:rPr>
      </w:pP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43180</wp:posOffset>
                </wp:positionV>
                <wp:extent cx="56007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1pt;margin-top:3.4pt;height:0.05pt;width:441pt;z-index:251660288;mso-width-relative:page;mso-height-relative:page;" filled="f" stroked="t" coordsize="21600,21600" o:gfxdata="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Xe3ZdIAAAAEAQAADwAAAAAAAAAB&#10;ACAAAAAiAAAAZHJzL2Rvd25yZXYueG1sUEsBAhQAFAAAAAgAh07iQNQb/y7dAQAApwMAAA4AAAAA&#10;AAAAAQAgAAAAIQEAAGRycy9lMm9Eb2MueG1sUEsFBgAAAAAGAAYAWQEAAHAFA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color w:val="000000"/>
          <w:spacing w:val="0"/>
          <w:w w:val="100"/>
          <w:sz w:val="28"/>
          <w:szCs w:val="28"/>
        </w:rPr>
        <w:t>抄送：区委各部门，区武装部。</w:t>
      </w:r>
    </w:p>
    <w:p>
      <w:pPr>
        <w:keepNext w:val="0"/>
        <w:keepLines w:val="0"/>
        <w:pageBreakBefore w:val="0"/>
        <w:widowControl w:val="0"/>
        <w:kinsoku/>
        <w:wordWrap/>
        <w:overflowPunct w:val="0"/>
        <w:topLinePunct w:val="0"/>
        <w:autoSpaceDE/>
        <w:autoSpaceDN/>
        <w:bidi w:val="0"/>
        <w:adjustRightInd/>
        <w:snapToGrid/>
        <w:spacing w:beforeAutospacing="0" w:afterAutospacing="0" w:line="590" w:lineRule="exact"/>
        <w:ind w:left="0" w:leftChars="0" w:right="0" w:rightChars="0" w:firstLine="1120" w:firstLineChars="400"/>
        <w:jc w:val="both"/>
        <w:textAlignment w:val="auto"/>
        <w:outlineLvl w:val="9"/>
        <w:rPr>
          <w:rFonts w:hint="eastAsia" w:ascii="Times New Roman" w:hAnsi="Times New Roman" w:eastAsia="仿宋_GB2312" w:cs="仿宋_GB2312"/>
          <w:color w:val="000000"/>
          <w:spacing w:val="0"/>
          <w:w w:val="100"/>
          <w:sz w:val="28"/>
          <w:szCs w:val="28"/>
        </w:rPr>
      </w:pPr>
      <w:r>
        <w:rPr>
          <w:rFonts w:hint="eastAsia" w:ascii="Times New Roman" w:hAnsi="Times New Roman" w:eastAsia="仿宋_GB2312" w:cs="仿宋_GB2312"/>
          <w:color w:val="000000"/>
          <w:spacing w:val="0"/>
          <w:w w:val="100"/>
          <w:sz w:val="28"/>
          <w:szCs w:val="28"/>
        </w:rPr>
        <w:t>区人大常委会办公室，区政协办公室，区法院，区检察院。</w:t>
      </w:r>
    </w:p>
    <w:p>
      <w:pPr>
        <w:pStyle w:val="4"/>
        <w:keepNext w:val="0"/>
        <w:keepLines w:val="0"/>
        <w:pageBreakBefore w:val="0"/>
        <w:widowControl w:val="0"/>
        <w:kinsoku/>
        <w:wordWrap/>
        <w:overflowPunct w:val="0"/>
        <w:topLinePunct w:val="0"/>
        <w:autoSpaceDE/>
        <w:autoSpaceDN/>
        <w:bidi w:val="0"/>
        <w:adjustRightInd/>
        <w:snapToGrid/>
        <w:spacing w:line="590" w:lineRule="exact"/>
        <w:ind w:left="0" w:leftChars="0" w:right="0" w:rightChars="0" w:firstLine="560" w:firstLineChars="200"/>
        <w:textAlignment w:val="auto"/>
        <w:outlineLvl w:val="9"/>
        <w:rPr>
          <w:rFonts w:hint="default"/>
          <w:lang w:val="en-US" w:eastAsia="zh-CN"/>
        </w:rPr>
      </w:pP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422910</wp:posOffset>
                </wp:positionV>
                <wp:extent cx="560070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33.3pt;height:0.05pt;width:441pt;z-index:251659264;mso-width-relative:page;mso-height-relative:page;" filled="f" stroked="t" coordsize="21600,21600" o:gfxdata="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RzEO+0wAAAAYBAAAPAAAAAAAA&#10;AAEAIAAAACIAAABkcnMvZG93bnJldi54bWxQSwECFAAUAAAACACHTuJA4OPPLt4BAACnAwAADgAA&#10;AAAAAAABACAAAAAiAQAAZHJzL2Uyb0RvYy54bWxQSwUGAAAAAAYABgBZAQAAcgUAAAAA&#10;">
                <v:fill on="f" focussize="0,0"/>
                <v:stroke weight="1pt" color="#000000" joinstyle="round"/>
                <v:imagedata o:title=""/>
                <o:lock v:ext="edit" aspectratio="f"/>
              </v:line>
            </w:pict>
          </mc:Fallback>
        </mc:AlternateContent>
      </w:r>
      <w:r>
        <w:rPr>
          <w:rFonts w:hint="eastAsia" w:ascii="Times New Roman" w:hAnsi="Times New Roman" w:eastAsia="仿宋_GB2312" w:cs="仿宋_GB2312"/>
          <w:color w:val="000000"/>
          <w:spacing w:val="0"/>
          <w:w w:val="100"/>
          <w:kern w:val="2"/>
          <w:sz w:val="28"/>
          <w:szCs w:val="28"/>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32385</wp:posOffset>
                </wp:positionV>
                <wp:extent cx="56007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4pt;margin-top:2.55pt;height:0.05pt;width:441pt;z-index:251658240;mso-width-relative:page;mso-height-relative:page;" filled="f" stroked="t" coordsize="21600,21600" o:gfxdata="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6PCdTRAAAABAEAAA8AAAAA&#10;AAAAAQAgAAAAIgAAAGRycy9kb3ducmV2LnhtbFBLAQIUABQAAAAIAIdO4kDYImPs4gEAAKYDAAAO&#10;AAAAAAAAAAEAIAAAACABAABkcnMvZTJvRG9jLnhtbFBLBQYAAAAABgAGAFkBAAB0BQAAAAA=&#10;">
                <v:fill on="f" focussize="0,0"/>
                <v:stroke color="#000000" joinstyle="round"/>
                <v:imagedata o:title=""/>
                <o:lock v:ext="edit" aspectratio="f"/>
              </v:line>
            </w:pict>
          </mc:Fallback>
        </mc:AlternateContent>
      </w:r>
      <w:r>
        <w:rPr>
          <w:rFonts w:hint="eastAsia" w:ascii="Times New Roman" w:hAnsi="Times New Roman" w:eastAsia="仿宋_GB2312" w:cs="仿宋_GB2312"/>
          <w:color w:val="000000"/>
          <w:spacing w:val="0"/>
          <w:w w:val="100"/>
          <w:sz w:val="28"/>
          <w:szCs w:val="28"/>
        </w:rPr>
        <w:t xml:space="preserve">郑州市金水区人民政府办公室 </w:t>
      </w:r>
      <w:r>
        <w:rPr>
          <w:rFonts w:hint="eastAsia" w:ascii="Times New Roman" w:hAnsi="Times New Roman" w:eastAsia="仿宋_GB2312" w:cs="仿宋_GB2312"/>
          <w:color w:val="000000"/>
          <w:spacing w:val="0"/>
          <w:w w:val="100"/>
          <w:sz w:val="28"/>
          <w:szCs w:val="28"/>
          <w:lang w:val="en-US" w:eastAsia="zh-CN"/>
        </w:rPr>
        <w:t xml:space="preserve">            </w:t>
      </w:r>
      <w:r>
        <w:rPr>
          <w:rFonts w:hint="eastAsia" w:ascii="Times New Roman" w:hAnsi="Times New Roman" w:eastAsia="仿宋_GB2312" w:cs="仿宋_GB2312"/>
          <w:color w:val="000000"/>
          <w:spacing w:val="0"/>
          <w:w w:val="100"/>
          <w:sz w:val="28"/>
          <w:szCs w:val="28"/>
        </w:rPr>
        <w:t xml:space="preserve"> </w:t>
      </w:r>
      <w:r>
        <w:rPr>
          <w:rFonts w:hint="eastAsia" w:ascii="Times New Roman" w:hAnsi="Times New Roman" w:eastAsia="仿宋_GB2312" w:cs="仿宋_GB2312"/>
          <w:color w:val="000000"/>
          <w:spacing w:val="0"/>
          <w:w w:val="100"/>
          <w:sz w:val="28"/>
          <w:szCs w:val="28"/>
          <w:lang w:val="en-US" w:eastAsia="zh-CN"/>
        </w:rPr>
        <w:t xml:space="preserve"> </w:t>
      </w:r>
      <w:r>
        <w:rPr>
          <w:rFonts w:hint="eastAsia" w:ascii="Times New Roman" w:hAnsi="Times New Roman" w:eastAsia="仿宋_GB2312" w:cs="仿宋_GB2312"/>
          <w:color w:val="000000"/>
          <w:spacing w:val="0"/>
          <w:w w:val="100"/>
          <w:sz w:val="28"/>
          <w:szCs w:val="28"/>
        </w:rPr>
        <w:t>20</w:t>
      </w:r>
      <w:r>
        <w:rPr>
          <w:rFonts w:hint="eastAsia" w:ascii="Times New Roman" w:hAnsi="Times New Roman" w:eastAsia="仿宋_GB2312" w:cs="仿宋_GB2312"/>
          <w:color w:val="000000"/>
          <w:spacing w:val="0"/>
          <w:w w:val="100"/>
          <w:sz w:val="28"/>
          <w:szCs w:val="28"/>
          <w:lang w:val="en-US" w:eastAsia="zh-CN"/>
        </w:rPr>
        <w:t>21</w:t>
      </w:r>
      <w:r>
        <w:rPr>
          <w:rFonts w:hint="eastAsia" w:ascii="Times New Roman" w:hAnsi="Times New Roman" w:eastAsia="仿宋_GB2312" w:cs="仿宋_GB2312"/>
          <w:color w:val="000000"/>
          <w:spacing w:val="0"/>
          <w:w w:val="100"/>
          <w:sz w:val="28"/>
          <w:szCs w:val="28"/>
        </w:rPr>
        <w:t>年</w:t>
      </w:r>
      <w:r>
        <w:rPr>
          <w:rFonts w:hint="eastAsia" w:ascii="Times New Roman" w:hAnsi="Times New Roman" w:eastAsia="仿宋_GB2312" w:cs="仿宋_GB2312"/>
          <w:color w:val="000000"/>
          <w:spacing w:val="0"/>
          <w:w w:val="100"/>
          <w:sz w:val="28"/>
          <w:szCs w:val="28"/>
          <w:lang w:val="en-US" w:eastAsia="zh-CN"/>
        </w:rPr>
        <w:t>6</w:t>
      </w:r>
      <w:r>
        <w:rPr>
          <w:rFonts w:hint="eastAsia" w:ascii="Times New Roman" w:hAnsi="Times New Roman" w:eastAsia="仿宋_GB2312" w:cs="仿宋_GB2312"/>
          <w:color w:val="000000"/>
          <w:spacing w:val="0"/>
          <w:w w:val="100"/>
          <w:sz w:val="28"/>
          <w:szCs w:val="28"/>
        </w:rPr>
        <w:t>月</w:t>
      </w:r>
      <w:r>
        <w:rPr>
          <w:rFonts w:hint="eastAsia" w:ascii="Times New Roman" w:hAnsi="Times New Roman" w:eastAsia="仿宋_GB2312" w:cs="仿宋_GB2312"/>
          <w:color w:val="000000"/>
          <w:spacing w:val="0"/>
          <w:w w:val="100"/>
          <w:sz w:val="28"/>
          <w:szCs w:val="28"/>
          <w:lang w:val="en-US" w:eastAsia="zh-CN"/>
        </w:rPr>
        <w:t>30</w:t>
      </w:r>
      <w:r>
        <w:rPr>
          <w:rFonts w:hint="eastAsia" w:ascii="Times New Roman" w:hAnsi="Times New Roman" w:eastAsia="仿宋_GB2312" w:cs="仿宋_GB2312"/>
          <w:color w:val="000000"/>
          <w:spacing w:val="0"/>
          <w:w w:val="100"/>
          <w:sz w:val="28"/>
          <w:szCs w:val="28"/>
        </w:rPr>
        <w:t>日印发</w:t>
      </w:r>
    </w:p>
    <w:sectPr>
      <w:footerReference r:id="rId5" w:type="default"/>
      <w:pgSz w:w="11850" w:h="16838"/>
      <w:pgMar w:top="1871" w:right="1474" w:bottom="1701" w:left="1474" w:header="851" w:footer="130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00007A87" w:usb1="80000000" w:usb2="00000008" w:usb3="00000000" w:csb0="400001FF" w:csb1="FFFF0000"/>
  </w:font>
  <w:font w:name="FZFSK--GBK1-0">
    <w:altName w:val="华文中宋"/>
    <w:panose1 w:val="00000000000000000000"/>
    <w:charset w:val="00"/>
    <w:family w:val="auto"/>
    <w:pitch w:val="default"/>
    <w:sig w:usb0="00000000" w:usb1="00000000" w:usb2="00000000" w:usb3="00000000" w:csb0="00040001" w:csb1="00000000"/>
  </w:font>
  <w:font w:name="E-BX">
    <w:altName w:val="华文中宋"/>
    <w:panose1 w:val="00000000000000000000"/>
    <w:charset w:val="00"/>
    <w:family w:val="auto"/>
    <w:pitch w:val="default"/>
    <w:sig w:usb0="00000000" w:usb1="00000000" w:usb2="00000000" w:usb3="00000000" w:csb0="00040001" w:csb1="00000000"/>
  </w:font>
  <w:font w:name="E-BZ">
    <w:altName w:val="华文中宋"/>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德彪钢笔行书字库">
    <w:panose1 w:val="02000000000000000000"/>
    <w:charset w:val="86"/>
    <w:family w:val="auto"/>
    <w:pitch w:val="default"/>
    <w:sig w:usb0="00000001" w:usb1="0800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宋体-PUA">
    <w:panose1 w:val="02010600030101010101"/>
    <w:charset w:val="86"/>
    <w:family w:val="auto"/>
    <w:pitch w:val="default"/>
    <w:sig w:usb0="00000000" w:usb1="1000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Dotum">
    <w:panose1 w:val="020B0600000101010101"/>
    <w:charset w:val="81"/>
    <w:family w:val="auto"/>
    <w:pitch w:val="default"/>
    <w:sig w:usb0="B00002AF" w:usb1="69D77CFB" w:usb2="00000030" w:usb3="00000000" w:csb0="4008009F" w:csb1="DFD70000"/>
  </w:font>
  <w:font w:name="DFPOYangXunW5-B5">
    <w:panose1 w:val="03000500000000000000"/>
    <w:charset w:val="88"/>
    <w:family w:val="auto"/>
    <w:pitch w:val="default"/>
    <w:sig w:usb0="80000001" w:usb1="28091800" w:usb2="00000016" w:usb3="00000000" w:csb0="00100000" w:csb1="00000000"/>
  </w:font>
  <w:font w:name="DFOYangXunW5-B5">
    <w:panose1 w:val="03000509000000000000"/>
    <w:charset w:val="88"/>
    <w:family w:val="auto"/>
    <w:pitch w:val="default"/>
    <w:sig w:usb0="80000001" w:usb1="28091800" w:usb2="00000016" w:usb3="00000000" w:csb0="00100000" w:csb1="00000000"/>
  </w:font>
  <w:font w:name="C-KT">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DejaVu Sans">
    <w:altName w:val="Trebuchet MS"/>
    <w:panose1 w:val="020B0603030804020204"/>
    <w:charset w:val="00"/>
    <w:family w:val="auto"/>
    <w:pitch w:val="default"/>
    <w:sig w:usb0="00000000" w:usb1="00000000" w:usb2="0A246029" w:usb3="0400200C" w:csb0="600001FF" w:csb1="DFFF0000"/>
  </w:font>
  <w:font w:name="Lucida Sans Unicode">
    <w:panose1 w:val="020B0602030504020204"/>
    <w:charset w:val="00"/>
    <w:family w:val="auto"/>
    <w:pitch w:val="default"/>
    <w:sig w:usb0="80001AFF" w:usb1="0000396B" w:usb2="00000000" w:usb3="00000000" w:csb0="0000003F" w:csb1="D7F70000"/>
  </w:font>
  <w:font w:name="Trebuchet MS">
    <w:panose1 w:val="020B0603020202020204"/>
    <w:charset w:val="00"/>
    <w:family w:val="auto"/>
    <w:pitch w:val="default"/>
    <w:sig w:usb0="00000287" w:usb1="00000000" w:usb2="00000000" w:usb3="00000000" w:csb0="2000009F"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00000287" w:usb1="00000000" w:usb2="00000000" w:usb3="00000000" w:csb0="2000019F" w:csb1="00000000"/>
  </w:font>
  <w:font w:name="Univers Condensed">
    <w:panose1 w:val="020B0606020202060204"/>
    <w:charset w:val="00"/>
    <w:family w:val="auto"/>
    <w:pitch w:val="default"/>
    <w:sig w:usb0="00000007" w:usb1="00000000" w:usb2="00000000" w:usb3="00000000" w:csb0="00000093" w:csb1="00000000"/>
  </w:font>
  <w:font w:name="Univers">
    <w:panose1 w:val="020B0603020202030204"/>
    <w:charset w:val="00"/>
    <w:family w:val="auto"/>
    <w:pitch w:val="default"/>
    <w:sig w:usb0="00000007" w:usb1="00000000" w:usb2="00000000" w:usb3="00000000" w:csb0="00000093" w:csb1="00000000"/>
  </w:font>
  <w:font w:name="Times">
    <w:altName w:val="CG Times"/>
    <w:panose1 w:val="00000000000000000000"/>
    <w:charset w:val="00"/>
    <w:family w:val="auto"/>
    <w:pitch w:val="default"/>
    <w:sig w:usb0="00000000" w:usb1="00000000" w:usb2="00000000" w:usb3="00000000" w:csb0="00000000" w:csb1="00000000"/>
  </w:font>
  <w:font w:name="CG Times">
    <w:panose1 w:val="02020603050405020304"/>
    <w:charset w:val="00"/>
    <w:family w:val="auto"/>
    <w:pitch w:val="default"/>
    <w:sig w:usb0="00000007" w:usb1="00000000" w:usb2="00000000" w:usb3="00000000" w:csb0="00000093" w:csb1="00000000"/>
  </w:font>
  <w:font w:name="Tahoma">
    <w:panose1 w:val="020B0604030504040204"/>
    <w:charset w:val="00"/>
    <w:family w:val="auto"/>
    <w:pitch w:val="default"/>
    <w:sig w:usb0="61007A87" w:usb1="80000000" w:usb2="00000008" w:usb3="00000000" w:csb0="200101FF" w:csb1="20280000"/>
  </w:font>
  <w:font w:name="SymbolPS">
    <w:panose1 w:val="05050102010607020607"/>
    <w:charset w:val="00"/>
    <w:family w:val="auto"/>
    <w:pitch w:val="default"/>
    <w:sig w:usb0="00000000" w:usb1="00000000" w:usb2="00000000" w:usb3="00000000" w:csb0="00000000" w:csb1="00000000"/>
  </w:font>
  <w:font w:name="方正楷体_GBK">
    <w:panose1 w:val="03000509000000000000"/>
    <w:charset w:val="86"/>
    <w:family w:val="auto"/>
    <w:pitch w:val="default"/>
    <w:sig w:usb0="00000001" w:usb1="080E0000" w:usb2="00000000" w:usb3="00000000" w:csb0="0004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283" w:rightChars="0" w:firstLine="280" w:firstLineChars="100"/>
                            <w:jc w:val="left"/>
                            <w:textAlignment w:val="auto"/>
                            <w:outlineLvl w:val="9"/>
                            <w:rPr>
                              <w:rFonts w:hint="default" w:ascii="Times New Roman" w:hAnsi="Times New Roman" w:cs="Times New Roman"/>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GziLKKgBAABBAwAADgAA&#10;AAAAAAABACAAAAAfAQAAZHJzL2Uyb0RvYy54bWxQSwUGAAAAAAYABgBZAQAAOQUAAAAA&#10;">
              <v:fill on="f" focussize="0,0"/>
              <v:stroke on="f"/>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spacing w:line="240" w:lineRule="auto"/>
                      <w:ind w:left="0" w:leftChars="0" w:right="283" w:rightChars="0" w:firstLine="280" w:firstLineChars="100"/>
                      <w:jc w:val="left"/>
                      <w:textAlignment w:val="auto"/>
                      <w:outlineLvl w:val="9"/>
                      <w:rPr>
                        <w:rFonts w:hint="default" w:ascii="Times New Roman" w:hAnsi="Times New Roman" w:cs="Times New Roman"/>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DB45E8"/>
    <w:multiLevelType w:val="singleLevel"/>
    <w:tmpl w:val="ECDB45E8"/>
    <w:lvl w:ilvl="0" w:tentative="0">
      <w:start w:val="1"/>
      <w:numFmt w:val="chineseCounting"/>
      <w:suff w:val="nothing"/>
      <w:lvlText w:val="第%1条 "/>
      <w:lvlJc w:val="left"/>
      <w:pPr>
        <w:ind w:left="0" w:firstLine="397"/>
      </w:pPr>
      <w:rPr>
        <w:rFonts w:hint="eastAsia" w:eastAsia="黑体"/>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31E34"/>
    <w:rsid w:val="0E2F6068"/>
    <w:rsid w:val="185716F1"/>
    <w:rsid w:val="1C6F273F"/>
    <w:rsid w:val="1F4424D9"/>
    <w:rsid w:val="2B6C6DD8"/>
    <w:rsid w:val="2DD975C4"/>
    <w:rsid w:val="3F679689"/>
    <w:rsid w:val="549A20DF"/>
    <w:rsid w:val="58F76C3D"/>
    <w:rsid w:val="5DFF7624"/>
    <w:rsid w:val="5EB63AA2"/>
    <w:rsid w:val="71BC6046"/>
    <w:rsid w:val="F2BF69F9"/>
    <w:rsid w:val="F3FFDAC9"/>
    <w:rsid w:val="F7BF2BFA"/>
    <w:rsid w:val="FEEF18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8">
    <w:name w:val="Default Paragraph Font"/>
    <w:semiHidden/>
    <w:qFormat/>
    <w:uiPriority w:val="0"/>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Body Text"/>
    <w:basedOn w:val="1"/>
    <w:next w:val="1"/>
    <w:unhideWhenUsed/>
    <w:qFormat/>
    <w:uiPriority w:val="99"/>
    <w:pPr>
      <w:spacing w:before="26"/>
      <w:ind w:left="108" w:firstLine="643"/>
      <w:jc w:val="left"/>
    </w:pPr>
    <w:rPr>
      <w:rFonts w:ascii="仿宋" w:hAnsi="仿宋" w:cs="宋体"/>
      <w:kern w:val="0"/>
      <w:lang w:eastAsia="en-US"/>
    </w:rPr>
  </w:style>
  <w:style w:type="paragraph" w:styleId="4">
    <w:name w:val="Plain Text"/>
    <w:basedOn w:val="1"/>
    <w:qFormat/>
    <w:uiPriority w:val="0"/>
    <w:rPr>
      <w:rFonts w:ascii="宋体"/>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rPr>
  </w:style>
  <w:style w:type="character" w:styleId="9">
    <w:name w:val="page number"/>
    <w:basedOn w:val="8"/>
    <w:qFormat/>
    <w:uiPriority w:val="0"/>
  </w:style>
  <w:style w:type="paragraph" w:customStyle="1" w:styleId="11">
    <w:name w:val="正文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HtmlNormal"/>
    <w:basedOn w:val="1"/>
    <w:qFormat/>
    <w:uiPriority w:val="99"/>
    <w:pPr>
      <w:spacing w:before="100" w:beforeAutospacing="1" w:after="100" w:afterAutospacing="1"/>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48</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2021-03-26T22:58:00Z</dcterms:created>
  <dc:creator>lenovo</dc:creator>
  <cp:lastModifiedBy>Administrator</cp:lastModifiedBy>
  <cp:lastPrinted>2021-09-03T09:55:25Z</cp:lastPrinted>
  <dcterms:modified xsi:type="dcterms:W3CDTF">2021-09-03T10:16:03Z</dcterms:modified>
  <dc:title>关于推动金水区科技创新高质量发展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C19B88B7704C467C91793237C2F9BDD2</vt:lpwstr>
  </property>
</Properties>
</file>