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简体" w:cs="Times New Roman"/>
          <w:sz w:val="44"/>
          <w:szCs w:val="44"/>
        </w:rPr>
      </w:pPr>
      <w:bookmarkStart w:id="0" w:name="_GoBack"/>
      <w:bookmarkEnd w:id="0"/>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关于金水区2020年度财政收支预算调整情况的</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说  明</w:t>
      </w:r>
    </w:p>
    <w:p>
      <w:pPr>
        <w:spacing w:line="600" w:lineRule="exact"/>
        <w:jc w:val="center"/>
        <w:rPr>
          <w:rFonts w:hint="default" w:ascii="Times New Roman" w:hAnsi="Times New Roman" w:eastAsia="楷体_GB2312" w:cs="Times New Roman"/>
          <w:sz w:val="32"/>
          <w:szCs w:val="32"/>
        </w:rPr>
      </w:pP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_GB2312" w:cs="Times New Roman"/>
          <w:sz w:val="32"/>
          <w:szCs w:val="32"/>
        </w:rPr>
        <w:t>2020年11月</w:t>
      </w:r>
      <w:r>
        <w:rPr>
          <w:rFonts w:hint="default" w:ascii="Times New Roman" w:hAnsi="Times New Roman" w:eastAsia="楷体_GB2312" w:cs="Times New Roman"/>
          <w:sz w:val="32"/>
          <w:szCs w:val="32"/>
          <w:lang w:val="en-US" w:eastAsia="zh-CN"/>
        </w:rPr>
        <w:t>27</w:t>
      </w:r>
      <w:r>
        <w:rPr>
          <w:rFonts w:hint="default" w:ascii="Times New Roman" w:hAnsi="Times New Roman" w:eastAsia="楷体_GB2312" w:cs="Times New Roman"/>
          <w:sz w:val="32"/>
          <w:szCs w:val="32"/>
        </w:rPr>
        <w:t>日在郑州市金水区第十三届人民代表大会</w:t>
      </w:r>
    </w:p>
    <w:p>
      <w:pPr>
        <w:spacing w:line="600" w:lineRule="exact"/>
        <w:jc w:val="center"/>
        <w:rPr>
          <w:rFonts w:hint="default" w:ascii="Times New Roman" w:hAnsi="Times New Roman" w:eastAsia="楷体" w:cs="Times New Roman"/>
          <w:sz w:val="32"/>
          <w:szCs w:val="32"/>
        </w:rPr>
      </w:pPr>
      <w:r>
        <w:rPr>
          <w:rFonts w:hint="default" w:ascii="Times New Roman" w:hAnsi="Times New Roman" w:eastAsia="楷体_GB2312" w:cs="Times New Roman"/>
          <w:sz w:val="32"/>
          <w:szCs w:val="32"/>
        </w:rPr>
        <w:t>常务委员会第二十九次会议上</w:t>
      </w:r>
    </w:p>
    <w:p>
      <w:pPr>
        <w:spacing w:line="600" w:lineRule="exact"/>
        <w:rPr>
          <w:rFonts w:hint="default" w:ascii="Times New Roman" w:hAnsi="Times New Roman" w:eastAsia="楷体" w:cs="Times New Roman"/>
          <w:sz w:val="32"/>
          <w:szCs w:val="32"/>
        </w:rPr>
      </w:pP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金水区财政局局长  袁先锋</w:t>
      </w:r>
    </w:p>
    <w:p>
      <w:pPr>
        <w:spacing w:line="600" w:lineRule="exact"/>
        <w:ind w:firstLine="640" w:firstLineChars="200"/>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主任、副主任、各位委员：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我受区政府委托，向区十三届人大常委会第二十九次会议说明金水区2020年度财政收支预算调整情况，请予审议。</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一、1—10月份财政预算执行情况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10月份，全区一般公共预算收入完成1083889万元，较去年同期下降5.46%；一般公共预算支出完成669770万元，较去年同期增长19.09%。全区基金预算收入完成28万元；基金预算支出完成557650万元，较去年同期下降9.97%，基金预算支出主要是上级财政下达的土地出让金支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今年以来，全区财政预算执行的主要特点是：一是受疫情和减税降费政策影响，财政收入呈现下降态势。今年以来，新冠肺炎疫情对企业经营产生较大影响，尤其是我区是以三产为主的中心城区，税收主要来源于批发零售和房地产业等，受疫情影响明显，税收下降幅度较大。同时，国家各项减税降费政策力度不断加大，相关税收收入也相应大幅下降。二是财政支出需求依然不断增加，支出压力巨大。城市建设步伐逐渐加快，一环十横十纵建设、市容市貌整治及城市精细化管理、老旧小区及棚户区改造、科教园区、自贸区和学校建设等一批重点项目需要大量的财政资金；同时保工资、保运转、保基本民生任务依然艰巨，财政支出压力巨大。三是财政改革持续推进，财政管理逐步规范。积极推进预算绩效管理，项目资金编制绩效目标和开展绩效自评价，选取部分项目开展重点绩效评价，积极加强绩效评价结果应用；做好预决算公开，全面公开政府、部门预决算信息，提高财政信息透明度，实现公开常态化；做好政府和部门综合财务报告编报，进一步提高政府会计信息质量；加强政府债务管理，做好政府债务风险预警与动态监控，着力防范和控制债务风险。</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二、预算调整因素</w:t>
      </w:r>
    </w:p>
    <w:p>
      <w:pPr>
        <w:spacing w:line="60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（一）受疫情影响减收情况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受疫情和宏观经济形势下行等因素影响，全区收入形势不容乐观，根据目前收入预算执行情况分析，</w:t>
      </w:r>
      <w:r>
        <w:rPr>
          <w:rFonts w:hint="eastAsia" w:ascii="Times New Roman" w:hAnsi="Times New Roman" w:eastAsia="仿宋_GB2312"/>
          <w:sz w:val="32"/>
          <w:szCs w:val="32"/>
          <w:lang w:eastAsia="zh-CN"/>
        </w:rPr>
        <w:t>今年</w:t>
      </w:r>
      <w:r>
        <w:rPr>
          <w:rFonts w:ascii="Times New Roman" w:hAnsi="Times New Roman" w:eastAsia="仿宋_GB2312"/>
          <w:sz w:val="32"/>
          <w:szCs w:val="32"/>
        </w:rPr>
        <w:t>一般公共预算收入难以完成年初</w:t>
      </w:r>
      <w:r>
        <w:rPr>
          <w:rFonts w:hint="eastAsia" w:ascii="Times New Roman" w:hAnsi="Times New Roman" w:eastAsia="仿宋_GB2312"/>
          <w:sz w:val="32"/>
          <w:szCs w:val="32"/>
          <w:lang w:eastAsia="zh-CN"/>
        </w:rPr>
        <w:t>预算（</w:t>
      </w:r>
      <w:r>
        <w:rPr>
          <w:rFonts w:ascii="Times New Roman" w:hAnsi="Times New Roman" w:eastAsia="仿宋_GB2312"/>
          <w:sz w:val="32"/>
          <w:szCs w:val="32"/>
        </w:rPr>
        <w:t>136.14亿元</w:t>
      </w:r>
      <w:r>
        <w:rPr>
          <w:rFonts w:hint="eastAsia" w:ascii="Times New Roman" w:hAnsi="Times New Roman" w:eastAsia="仿宋_GB2312"/>
          <w:sz w:val="32"/>
          <w:szCs w:val="32"/>
          <w:lang w:eastAsia="zh-CN"/>
        </w:rPr>
        <w:t>，</w:t>
      </w:r>
      <w:r>
        <w:rPr>
          <w:rFonts w:ascii="Times New Roman" w:hAnsi="Times New Roman" w:eastAsia="仿宋_GB2312"/>
          <w:sz w:val="32"/>
          <w:szCs w:val="32"/>
        </w:rPr>
        <w:t>增长3%</w:t>
      </w:r>
      <w:r>
        <w:rPr>
          <w:rFonts w:hint="eastAsia" w:ascii="Times New Roman" w:hAnsi="Times New Roman" w:eastAsia="仿宋_GB2312"/>
          <w:sz w:val="32"/>
          <w:szCs w:val="32"/>
          <w:lang w:eastAsia="zh-CN"/>
        </w:rPr>
        <w:t>）</w:t>
      </w:r>
      <w:r>
        <w:rPr>
          <w:rFonts w:hint="default" w:ascii="Times New Roman" w:hAnsi="Times New Roman" w:eastAsia="仿宋_GB2312" w:cs="Times New Roman"/>
          <w:sz w:val="32"/>
          <w:szCs w:val="32"/>
        </w:rPr>
        <w:t>，预计短收1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亿元左右，全年一般公共预算收入完成约12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亿元，</w:t>
      </w:r>
      <w:r>
        <w:rPr>
          <w:rFonts w:hint="default" w:ascii="Times New Roman" w:hAnsi="Times New Roman" w:eastAsia="仿宋_GB2312" w:cs="Times New Roman"/>
          <w:sz w:val="32"/>
          <w:szCs w:val="32"/>
          <w:lang w:eastAsia="zh-CN"/>
        </w:rPr>
        <w:t>由于留抵退税数尚未确定和因</w:t>
      </w:r>
      <w:r>
        <w:rPr>
          <w:rFonts w:hint="default" w:ascii="Times New Roman" w:hAnsi="Times New Roman" w:eastAsia="仿宋_GB2312" w:cs="Times New Roman"/>
          <w:sz w:val="32"/>
          <w:szCs w:val="32"/>
        </w:rPr>
        <w:t>体制调整，市财政局尚未完全确定我区上年同口径一般公共预算收入数，</w:t>
      </w:r>
      <w:r>
        <w:rPr>
          <w:rFonts w:hint="default" w:ascii="Times New Roman" w:hAnsi="Times New Roman" w:eastAsia="仿宋_GB2312" w:cs="Times New Roman"/>
          <w:sz w:val="32"/>
          <w:szCs w:val="32"/>
          <w:lang w:eastAsia="zh-CN"/>
        </w:rPr>
        <w:t>因此全年一般公共预算收入完成数后期将仍有变动，</w:t>
      </w:r>
      <w:r>
        <w:rPr>
          <w:rFonts w:hint="default" w:ascii="Times New Roman" w:hAnsi="Times New Roman" w:eastAsia="仿宋_GB2312" w:cs="Times New Roman"/>
          <w:sz w:val="32"/>
          <w:szCs w:val="32"/>
        </w:rPr>
        <w:t>下降比例将待市局反馈后确定。短收形成的财力缺口通过土地出让金净收益和收回存量资金统筹解决。</w:t>
      </w:r>
    </w:p>
    <w:p>
      <w:pPr>
        <w:spacing w:line="60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（二）新增地方政府债券</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今年，市财政局下达我区新增债券资金76100万元，其中：一般债券33600万元、专项债券42500万元。</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新增债券资金分别用于：老旧小区改造19920万元，学校建设12000万元，敬老养老院项目14500万元，公园建设及城区绿化整治15680万元，道路建设8000万元，群众文化活动服务中心建设3200万元，疫情防控2800万元。</w:t>
      </w:r>
    </w:p>
    <w:p>
      <w:pPr>
        <w:spacing w:line="60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（三）抗疫特别国债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今年，市财政局下达我区抗疫特别国债资金14612万元，分别用于：市民公共文化服务活动中心建设11850万元，老旧小区改造2292万元，公共卫生项目建设470万元。</w:t>
      </w:r>
    </w:p>
    <w:p>
      <w:pPr>
        <w:spacing w:line="60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（四）新增一般性转移支付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今年，中央加大了对基层政府的转移支付力度，保障基层政府运转和各项政策的落实。我区一般性转移支付资金增加支出30737万元，分别用于：老旧小区改造22036万元，疫情防控和应急物资保障5179万元，教育经费3522万元。</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三、预算调整方案</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根据以上因素，2020年全区财政预算需作如下调整：</w:t>
      </w:r>
    </w:p>
    <w:p>
      <w:pPr>
        <w:spacing w:line="60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（一）一般公共预算调整方案</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1.经区十三届人大五次会议审议批准的2020年全区一般公共预算收入预算为1361436万元，拟调减1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1436万元，2020年全区一般公共预算收入预算调整为12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0000万元。</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2.经区十三届人大五次会议审议批准的2020年全区一般公共预算支出预算为651132万元，加上新增一般债券等支出66629万元后，2020年全区一般公共预算支出预算调整为717761万元。</w:t>
      </w:r>
    </w:p>
    <w:p>
      <w:pPr>
        <w:spacing w:line="60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（二）政府性基金预算调整方案</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区十三届人大五次会议审议批准的2020年全区政府性基金预算支出预算为24328万元，加上新增专项债券及抗疫特别国债资金54820万元，扣除调出资金20000万元后，2020年全区政府性基金预算支出预算调整为59148万元。</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预算调整的具体方案（草案）附后。</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四、新增专项转移支付情况说明</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根据预算法规定，因接受上级新增专项转移支付而引起的预算支出变化，应当向人大常委会报告有关情况。因此现将有关情况报告如下：</w:t>
      </w:r>
    </w:p>
    <w:p>
      <w:pPr>
        <w:spacing w:line="60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（一）一般公共预算</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今年以来，上级下达我区专项转移支付资金91081万元，扣除提前下达列入年初预算部分13000万元，当年新增专项转移支付资金78081万元，分别是一般公共服务支出245万元，公共安全支出17万元，科学技术支出22591万元（主要是企业研发补助及高新技术企业奖补资金），文化旅游体育与传媒支出769万元，社会保障和就业支出9627万元（主要是退役安置、高龄津贴及残疾人事业经费），卫生健康支出3710万元（主要是公共卫生服务及落实计划生育奖励扶助制度资金），节能环保支出11814万元（主要是冬季清洁取暖补助及工业企业结构调整奖补资金），城乡社区支出26389万元（主要是一环十横十纵道路综合改造工程资金），农林水支出312万元，资源勘探信息等支出1621万元，商业服务业等支出879万元，金融支出107万元。</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一般公共预算支出调整预算数717761万元加上新增专项转移支付资金78081万元，预计全年全区一般公共预算支出为795842万元。</w:t>
      </w:r>
    </w:p>
    <w:p>
      <w:pPr>
        <w:spacing w:line="60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（二）政府性基金预算</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今年以来，上级下达我区专项转移支付资金647839万元，分别是文化旅游体育与传媒支出181万元（国家电影事业发展专项资金安排的支出），城乡社区支出644953万元（国有土地使用权出让收入安排的支出），其他支出2705万元（彩票公益金安排的支出）。</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政府性基金支出调整预算数59148万元加上新增专项转移支付资金647839万元，预计全年全区政府性基金预算支出为706987万元。</w:t>
      </w:r>
    </w:p>
    <w:p>
      <w:pPr>
        <w:spacing w:line="600" w:lineRule="exact"/>
        <w:ind w:firstLine="640" w:firstLineChars="200"/>
        <w:rPr>
          <w:rFonts w:hint="default" w:ascii="Times New Roman" w:hAnsi="Times New Roman" w:eastAsia="仿宋_GB2312" w:cs="Times New Roman"/>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701" w:left="1474" w:header="1077" w:footer="1304" w:gutter="0"/>
          <w:cols w:space="720" w:num="1"/>
          <w:docGrid w:type="lines" w:linePitch="312" w:charSpace="0"/>
        </w:sectPr>
      </w:pPr>
      <w:r>
        <w:rPr>
          <w:rFonts w:hint="default" w:ascii="Times New Roman" w:hAnsi="Times New Roman" w:eastAsia="仿宋_GB2312" w:cs="Times New Roman"/>
          <w:sz w:val="32"/>
          <w:szCs w:val="32"/>
        </w:rPr>
        <w:t>以上说明，请予审议</w:t>
      </w:r>
      <w:r>
        <w:rPr>
          <w:rFonts w:hint="default" w:ascii="Times New Roman" w:hAnsi="Times New Roman" w:eastAsia="仿宋_GB2312" w:cs="Times New Roman"/>
          <w:sz w:val="32"/>
          <w:szCs w:val="32"/>
          <w:lang w:eastAsia="zh-CN"/>
        </w:rPr>
        <w:t>。</w:t>
      </w:r>
    </w:p>
    <w:p>
      <w:pPr>
        <w:spacing w:line="240" w:lineRule="exact"/>
        <w:rPr>
          <w:rFonts w:hint="default" w:ascii="Times New Roman" w:hAnsi="Times New Roman" w:eastAsia="黑体" w:cs="Times New Roman"/>
          <w:sz w:val="28"/>
          <w:szCs w:val="28"/>
        </w:rPr>
      </w:pPr>
    </w:p>
    <w:p>
      <w:pPr>
        <w:spacing w:line="240" w:lineRule="exact"/>
        <w:jc w:val="center"/>
        <w:rPr>
          <w:rFonts w:hint="default" w:ascii="Times New Roman" w:hAnsi="Times New Roman" w:eastAsia="黑体" w:cs="Times New Roman"/>
          <w:sz w:val="28"/>
          <w:szCs w:val="28"/>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2020年金水区一般公共预算调整方案（草案）</w:t>
      </w:r>
    </w:p>
    <w:p>
      <w:pPr>
        <w:jc w:val="right"/>
        <w:rPr>
          <w:rFonts w:hint="default" w:ascii="Times New Roman" w:hAnsi="Times New Roman" w:eastAsia="仿宋" w:cs="Times New Roman"/>
          <w:sz w:val="24"/>
        </w:rPr>
      </w:pPr>
    </w:p>
    <w:p>
      <w:pPr>
        <w:jc w:val="right"/>
        <w:rPr>
          <w:rFonts w:hint="default" w:ascii="Times New Roman" w:hAnsi="Times New Roman" w:eastAsia="仿宋" w:cs="Times New Roman"/>
          <w:sz w:val="28"/>
          <w:szCs w:val="28"/>
        </w:rPr>
      </w:pPr>
      <w:r>
        <w:rPr>
          <w:rFonts w:hint="default" w:ascii="Times New Roman" w:hAnsi="Times New Roman" w:eastAsia="仿宋" w:cs="Times New Roman"/>
          <w:sz w:val="24"/>
        </w:rPr>
        <w:t>单位：万元</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1530"/>
        <w:gridCol w:w="1095"/>
        <w:gridCol w:w="1416"/>
        <w:gridCol w:w="2799"/>
        <w:gridCol w:w="1575"/>
        <w:gridCol w:w="1200"/>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7086" w:type="dxa"/>
            <w:gridSpan w:val="4"/>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收入</w:t>
            </w:r>
          </w:p>
        </w:tc>
        <w:tc>
          <w:tcPr>
            <w:tcW w:w="7088" w:type="dxa"/>
            <w:gridSpan w:val="4"/>
            <w:vAlign w:val="center"/>
          </w:tcPr>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项目</w:t>
            </w:r>
          </w:p>
        </w:tc>
        <w:tc>
          <w:tcPr>
            <w:tcW w:w="1530"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年初预算数</w:t>
            </w:r>
          </w:p>
        </w:tc>
        <w:tc>
          <w:tcPr>
            <w:tcW w:w="1095"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调整数</w:t>
            </w:r>
          </w:p>
        </w:tc>
        <w:tc>
          <w:tcPr>
            <w:tcW w:w="1416"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调整预算数</w:t>
            </w:r>
          </w:p>
        </w:tc>
        <w:tc>
          <w:tcPr>
            <w:tcW w:w="2799"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项目</w:t>
            </w:r>
          </w:p>
        </w:tc>
        <w:tc>
          <w:tcPr>
            <w:tcW w:w="1575"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年初预算数</w:t>
            </w:r>
          </w:p>
        </w:tc>
        <w:tc>
          <w:tcPr>
            <w:tcW w:w="1200"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调整数</w:t>
            </w:r>
          </w:p>
        </w:tc>
        <w:tc>
          <w:tcPr>
            <w:tcW w:w="1514"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调整预算数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增值税</w:t>
            </w:r>
          </w:p>
        </w:tc>
        <w:tc>
          <w:tcPr>
            <w:tcW w:w="153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420820</w:t>
            </w:r>
          </w:p>
        </w:tc>
        <w:tc>
          <w:tcPr>
            <w:tcW w:w="109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-80820</w:t>
            </w:r>
          </w:p>
        </w:tc>
        <w:tc>
          <w:tcPr>
            <w:tcW w:w="1416"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340000</w:t>
            </w:r>
          </w:p>
        </w:tc>
        <w:tc>
          <w:tcPr>
            <w:tcW w:w="279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一般公共服务</w:t>
            </w:r>
          </w:p>
        </w:tc>
        <w:tc>
          <w:tcPr>
            <w:tcW w:w="157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111780</w:t>
            </w:r>
          </w:p>
        </w:tc>
        <w:tc>
          <w:tcPr>
            <w:tcW w:w="1200" w:type="dxa"/>
            <w:vAlign w:val="center"/>
          </w:tcPr>
          <w:p>
            <w:pPr>
              <w:jc w:val="right"/>
              <w:rPr>
                <w:rFonts w:hint="default" w:ascii="Times New Roman" w:hAnsi="Times New Roman" w:eastAsia="仿宋" w:cs="Times New Roman"/>
                <w:szCs w:val="21"/>
              </w:rPr>
            </w:pP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111780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企业所得税</w:t>
            </w:r>
          </w:p>
        </w:tc>
        <w:tc>
          <w:tcPr>
            <w:tcW w:w="153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274271</w:t>
            </w:r>
          </w:p>
        </w:tc>
        <w:tc>
          <w:tcPr>
            <w:tcW w:w="109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-49271</w:t>
            </w:r>
          </w:p>
        </w:tc>
        <w:tc>
          <w:tcPr>
            <w:tcW w:w="1416"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225000</w:t>
            </w:r>
          </w:p>
        </w:tc>
        <w:tc>
          <w:tcPr>
            <w:tcW w:w="279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公共安全</w:t>
            </w:r>
          </w:p>
        </w:tc>
        <w:tc>
          <w:tcPr>
            <w:tcW w:w="157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26907</w:t>
            </w:r>
          </w:p>
        </w:tc>
        <w:tc>
          <w:tcPr>
            <w:tcW w:w="1200" w:type="dxa"/>
            <w:vAlign w:val="center"/>
          </w:tcPr>
          <w:p>
            <w:pPr>
              <w:jc w:val="right"/>
              <w:rPr>
                <w:rFonts w:hint="default" w:ascii="Times New Roman" w:hAnsi="Times New Roman" w:eastAsia="仿宋" w:cs="Times New Roman"/>
                <w:szCs w:val="21"/>
              </w:rPr>
            </w:pP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26907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个人所得税</w:t>
            </w:r>
          </w:p>
        </w:tc>
        <w:tc>
          <w:tcPr>
            <w:tcW w:w="153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88052</w:t>
            </w:r>
          </w:p>
        </w:tc>
        <w:tc>
          <w:tcPr>
            <w:tcW w:w="109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-28052</w:t>
            </w:r>
          </w:p>
        </w:tc>
        <w:tc>
          <w:tcPr>
            <w:tcW w:w="1416"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60000</w:t>
            </w:r>
          </w:p>
        </w:tc>
        <w:tc>
          <w:tcPr>
            <w:tcW w:w="279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教育</w:t>
            </w:r>
          </w:p>
        </w:tc>
        <w:tc>
          <w:tcPr>
            <w:tcW w:w="157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171018</w:t>
            </w:r>
          </w:p>
        </w:tc>
        <w:tc>
          <w:tcPr>
            <w:tcW w:w="120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12522</w:t>
            </w: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183540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城市维护建设税</w:t>
            </w:r>
          </w:p>
        </w:tc>
        <w:tc>
          <w:tcPr>
            <w:tcW w:w="153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60742</w:t>
            </w:r>
          </w:p>
        </w:tc>
        <w:tc>
          <w:tcPr>
            <w:tcW w:w="109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-10742</w:t>
            </w:r>
          </w:p>
        </w:tc>
        <w:tc>
          <w:tcPr>
            <w:tcW w:w="1416"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50000</w:t>
            </w:r>
          </w:p>
        </w:tc>
        <w:tc>
          <w:tcPr>
            <w:tcW w:w="279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科学技术</w:t>
            </w:r>
          </w:p>
        </w:tc>
        <w:tc>
          <w:tcPr>
            <w:tcW w:w="157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20960</w:t>
            </w:r>
          </w:p>
        </w:tc>
        <w:tc>
          <w:tcPr>
            <w:tcW w:w="1200" w:type="dxa"/>
            <w:vAlign w:val="center"/>
          </w:tcPr>
          <w:p>
            <w:pPr>
              <w:jc w:val="right"/>
              <w:rPr>
                <w:rFonts w:hint="default" w:ascii="Times New Roman" w:hAnsi="Times New Roman" w:eastAsia="仿宋" w:cs="Times New Roman"/>
                <w:szCs w:val="21"/>
              </w:rPr>
            </w:pP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20960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房产税</w:t>
            </w:r>
          </w:p>
        </w:tc>
        <w:tc>
          <w:tcPr>
            <w:tcW w:w="153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46318</w:t>
            </w:r>
          </w:p>
        </w:tc>
        <w:tc>
          <w:tcPr>
            <w:tcW w:w="109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-6318</w:t>
            </w:r>
          </w:p>
        </w:tc>
        <w:tc>
          <w:tcPr>
            <w:tcW w:w="1416"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40000</w:t>
            </w:r>
          </w:p>
        </w:tc>
        <w:tc>
          <w:tcPr>
            <w:tcW w:w="279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文化旅游体育与传媒</w:t>
            </w:r>
          </w:p>
        </w:tc>
        <w:tc>
          <w:tcPr>
            <w:tcW w:w="157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3992</w:t>
            </w:r>
          </w:p>
        </w:tc>
        <w:tc>
          <w:tcPr>
            <w:tcW w:w="1200" w:type="dxa"/>
            <w:vAlign w:val="center"/>
          </w:tcPr>
          <w:p>
            <w:pPr>
              <w:jc w:val="right"/>
              <w:rPr>
                <w:rFonts w:hint="default" w:ascii="Times New Roman" w:hAnsi="Times New Roman" w:eastAsia="仿宋" w:cs="Times New Roman"/>
                <w:szCs w:val="21"/>
              </w:rPr>
            </w:pP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3992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exact"/>
        </w:trPr>
        <w:tc>
          <w:tcPr>
            <w:tcW w:w="3045"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印花税</w:t>
            </w:r>
          </w:p>
        </w:tc>
        <w:tc>
          <w:tcPr>
            <w:tcW w:w="153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22038</w:t>
            </w:r>
          </w:p>
        </w:tc>
        <w:tc>
          <w:tcPr>
            <w:tcW w:w="109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-4438</w:t>
            </w:r>
          </w:p>
        </w:tc>
        <w:tc>
          <w:tcPr>
            <w:tcW w:w="1416"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17600</w:t>
            </w:r>
          </w:p>
        </w:tc>
        <w:tc>
          <w:tcPr>
            <w:tcW w:w="279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社会保障和就业</w:t>
            </w:r>
          </w:p>
        </w:tc>
        <w:tc>
          <w:tcPr>
            <w:tcW w:w="157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56902</w:t>
            </w:r>
          </w:p>
        </w:tc>
        <w:tc>
          <w:tcPr>
            <w:tcW w:w="1200" w:type="dxa"/>
            <w:vAlign w:val="center"/>
          </w:tcPr>
          <w:p>
            <w:pPr>
              <w:jc w:val="right"/>
              <w:rPr>
                <w:rFonts w:hint="default" w:ascii="Times New Roman" w:hAnsi="Times New Roman" w:eastAsia="仿宋" w:cs="Times New Roman"/>
                <w:szCs w:val="21"/>
              </w:rPr>
            </w:pP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56902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城镇土地使用税</w:t>
            </w:r>
          </w:p>
        </w:tc>
        <w:tc>
          <w:tcPr>
            <w:tcW w:w="153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13994</w:t>
            </w:r>
          </w:p>
        </w:tc>
        <w:tc>
          <w:tcPr>
            <w:tcW w:w="109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-994</w:t>
            </w:r>
          </w:p>
        </w:tc>
        <w:tc>
          <w:tcPr>
            <w:tcW w:w="1416"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13000</w:t>
            </w:r>
          </w:p>
        </w:tc>
        <w:tc>
          <w:tcPr>
            <w:tcW w:w="279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卫生健康</w:t>
            </w:r>
          </w:p>
        </w:tc>
        <w:tc>
          <w:tcPr>
            <w:tcW w:w="157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44305</w:t>
            </w:r>
          </w:p>
        </w:tc>
        <w:tc>
          <w:tcPr>
            <w:tcW w:w="120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5431</w:t>
            </w: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49736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土地增值税</w:t>
            </w:r>
          </w:p>
        </w:tc>
        <w:tc>
          <w:tcPr>
            <w:tcW w:w="153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151532</w:t>
            </w:r>
          </w:p>
        </w:tc>
        <w:tc>
          <w:tcPr>
            <w:tcW w:w="109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w:t>
            </w:r>
            <w:r>
              <w:rPr>
                <w:rFonts w:hint="default" w:ascii="Times New Roman" w:hAnsi="Times New Roman" w:cs="Times New Roman"/>
                <w:color w:val="000000"/>
                <w:kern w:val="0"/>
                <w:szCs w:val="21"/>
                <w:lang w:val="en-US" w:eastAsia="zh-CN"/>
              </w:rPr>
              <w:t>5</w:t>
            </w:r>
            <w:r>
              <w:rPr>
                <w:rFonts w:hint="default" w:ascii="Times New Roman" w:hAnsi="Times New Roman" w:cs="Times New Roman"/>
                <w:color w:val="000000"/>
                <w:kern w:val="0"/>
                <w:szCs w:val="21"/>
              </w:rPr>
              <w:t>1532</w:t>
            </w:r>
          </w:p>
        </w:tc>
        <w:tc>
          <w:tcPr>
            <w:tcW w:w="1416"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w:t>
            </w:r>
            <w:r>
              <w:rPr>
                <w:rFonts w:hint="default" w:ascii="Times New Roman" w:hAnsi="Times New Roman" w:cs="Times New Roman"/>
                <w:color w:val="000000"/>
                <w:kern w:val="0"/>
                <w:szCs w:val="21"/>
                <w:lang w:val="en-US" w:eastAsia="zh-CN"/>
              </w:rPr>
              <w:t>0</w:t>
            </w:r>
            <w:r>
              <w:rPr>
                <w:rFonts w:hint="default" w:ascii="Times New Roman" w:hAnsi="Times New Roman" w:cs="Times New Roman"/>
                <w:color w:val="000000"/>
                <w:kern w:val="0"/>
                <w:szCs w:val="21"/>
              </w:rPr>
              <w:t>0000</w:t>
            </w:r>
          </w:p>
        </w:tc>
        <w:tc>
          <w:tcPr>
            <w:tcW w:w="279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节能环保</w:t>
            </w:r>
          </w:p>
        </w:tc>
        <w:tc>
          <w:tcPr>
            <w:tcW w:w="157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4537</w:t>
            </w:r>
          </w:p>
        </w:tc>
        <w:tc>
          <w:tcPr>
            <w:tcW w:w="1200" w:type="dxa"/>
            <w:vAlign w:val="center"/>
          </w:tcPr>
          <w:p>
            <w:pPr>
              <w:jc w:val="right"/>
              <w:rPr>
                <w:rFonts w:hint="default" w:ascii="Times New Roman" w:hAnsi="Times New Roman" w:eastAsia="仿宋" w:cs="Times New Roman"/>
                <w:szCs w:val="21"/>
              </w:rPr>
            </w:pP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4537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耕地占用税</w:t>
            </w:r>
          </w:p>
        </w:tc>
        <w:tc>
          <w:tcPr>
            <w:tcW w:w="153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15816</w:t>
            </w:r>
          </w:p>
        </w:tc>
        <w:tc>
          <w:tcPr>
            <w:tcW w:w="109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-816</w:t>
            </w:r>
          </w:p>
        </w:tc>
        <w:tc>
          <w:tcPr>
            <w:tcW w:w="1416"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15000</w:t>
            </w:r>
          </w:p>
        </w:tc>
        <w:tc>
          <w:tcPr>
            <w:tcW w:w="279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城乡社区</w:t>
            </w:r>
          </w:p>
        </w:tc>
        <w:tc>
          <w:tcPr>
            <w:tcW w:w="157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158937</w:t>
            </w:r>
          </w:p>
        </w:tc>
        <w:tc>
          <w:tcPr>
            <w:tcW w:w="120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21800</w:t>
            </w: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180737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资源税</w:t>
            </w:r>
          </w:p>
        </w:tc>
        <w:tc>
          <w:tcPr>
            <w:tcW w:w="153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371</w:t>
            </w:r>
          </w:p>
        </w:tc>
        <w:tc>
          <w:tcPr>
            <w:tcW w:w="109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-71</w:t>
            </w:r>
          </w:p>
        </w:tc>
        <w:tc>
          <w:tcPr>
            <w:tcW w:w="1416"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300</w:t>
            </w:r>
          </w:p>
        </w:tc>
        <w:tc>
          <w:tcPr>
            <w:tcW w:w="279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农林水</w:t>
            </w:r>
          </w:p>
        </w:tc>
        <w:tc>
          <w:tcPr>
            <w:tcW w:w="157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5658</w:t>
            </w:r>
          </w:p>
        </w:tc>
        <w:tc>
          <w:tcPr>
            <w:tcW w:w="1200" w:type="dxa"/>
            <w:vAlign w:val="center"/>
          </w:tcPr>
          <w:p>
            <w:pPr>
              <w:jc w:val="right"/>
              <w:rPr>
                <w:rFonts w:hint="default" w:ascii="Times New Roman" w:hAnsi="Times New Roman" w:eastAsia="仿宋" w:cs="Times New Roman"/>
                <w:szCs w:val="21"/>
              </w:rPr>
            </w:pP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5658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车船税</w:t>
            </w:r>
          </w:p>
        </w:tc>
        <w:tc>
          <w:tcPr>
            <w:tcW w:w="153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49683</w:t>
            </w:r>
          </w:p>
        </w:tc>
        <w:tc>
          <w:tcPr>
            <w:tcW w:w="109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317</w:t>
            </w:r>
          </w:p>
        </w:tc>
        <w:tc>
          <w:tcPr>
            <w:tcW w:w="1416"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50000</w:t>
            </w:r>
          </w:p>
        </w:tc>
        <w:tc>
          <w:tcPr>
            <w:tcW w:w="279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交通运输</w:t>
            </w:r>
          </w:p>
        </w:tc>
        <w:tc>
          <w:tcPr>
            <w:tcW w:w="157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1630</w:t>
            </w:r>
          </w:p>
        </w:tc>
        <w:tc>
          <w:tcPr>
            <w:tcW w:w="1200" w:type="dxa"/>
            <w:vAlign w:val="center"/>
          </w:tcPr>
          <w:p>
            <w:pPr>
              <w:jc w:val="right"/>
              <w:rPr>
                <w:rFonts w:hint="default" w:ascii="Times New Roman" w:hAnsi="Times New Roman" w:eastAsia="仿宋" w:cs="Times New Roman"/>
                <w:szCs w:val="21"/>
              </w:rPr>
            </w:pP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top"/>
          </w:tcPr>
          <w:p>
            <w:pPr>
              <w:rPr>
                <w:rFonts w:hint="default" w:ascii="Times New Roman" w:hAnsi="Times New Roman" w:eastAsia="仿宋" w:cs="Times New Roman"/>
                <w:szCs w:val="21"/>
              </w:rPr>
            </w:pPr>
            <w:r>
              <w:rPr>
                <w:rFonts w:hint="default" w:ascii="Times New Roman" w:hAnsi="Times New Roman" w:eastAsia="仿宋" w:cs="Times New Roman"/>
                <w:szCs w:val="21"/>
              </w:rPr>
              <w:t>契税</w:t>
            </w:r>
          </w:p>
        </w:tc>
        <w:tc>
          <w:tcPr>
            <w:tcW w:w="153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124968</w:t>
            </w:r>
          </w:p>
        </w:tc>
        <w:tc>
          <w:tcPr>
            <w:tcW w:w="109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-9968</w:t>
            </w:r>
          </w:p>
        </w:tc>
        <w:tc>
          <w:tcPr>
            <w:tcW w:w="1416"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115000</w:t>
            </w:r>
          </w:p>
        </w:tc>
        <w:tc>
          <w:tcPr>
            <w:tcW w:w="279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资源勘探信息等</w:t>
            </w:r>
          </w:p>
        </w:tc>
        <w:tc>
          <w:tcPr>
            <w:tcW w:w="157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4920</w:t>
            </w:r>
          </w:p>
        </w:tc>
        <w:tc>
          <w:tcPr>
            <w:tcW w:w="1200" w:type="dxa"/>
            <w:vAlign w:val="center"/>
          </w:tcPr>
          <w:p>
            <w:pPr>
              <w:jc w:val="right"/>
              <w:rPr>
                <w:rFonts w:hint="default" w:ascii="Times New Roman" w:hAnsi="Times New Roman" w:eastAsia="仿宋" w:cs="Times New Roman"/>
                <w:szCs w:val="21"/>
              </w:rPr>
            </w:pP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4920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top"/>
          </w:tcPr>
          <w:p>
            <w:pPr>
              <w:rPr>
                <w:rFonts w:hint="default" w:ascii="Times New Roman" w:hAnsi="Times New Roman" w:eastAsia="仿宋" w:cs="Times New Roman"/>
                <w:szCs w:val="21"/>
              </w:rPr>
            </w:pPr>
            <w:r>
              <w:rPr>
                <w:rFonts w:hint="default" w:ascii="Times New Roman" w:hAnsi="Times New Roman" w:eastAsia="仿宋" w:cs="Times New Roman"/>
                <w:szCs w:val="21"/>
              </w:rPr>
              <w:t>环境保护税</w:t>
            </w:r>
          </w:p>
        </w:tc>
        <w:tc>
          <w:tcPr>
            <w:tcW w:w="153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60</w:t>
            </w:r>
          </w:p>
        </w:tc>
        <w:tc>
          <w:tcPr>
            <w:tcW w:w="109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-10</w:t>
            </w:r>
          </w:p>
        </w:tc>
        <w:tc>
          <w:tcPr>
            <w:tcW w:w="1416"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50</w:t>
            </w:r>
          </w:p>
        </w:tc>
        <w:tc>
          <w:tcPr>
            <w:tcW w:w="279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商业服务业等</w:t>
            </w:r>
          </w:p>
        </w:tc>
        <w:tc>
          <w:tcPr>
            <w:tcW w:w="157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3909</w:t>
            </w:r>
          </w:p>
        </w:tc>
        <w:tc>
          <w:tcPr>
            <w:tcW w:w="1200" w:type="dxa"/>
            <w:vAlign w:val="center"/>
          </w:tcPr>
          <w:p>
            <w:pPr>
              <w:jc w:val="right"/>
              <w:rPr>
                <w:rFonts w:hint="default" w:ascii="Times New Roman" w:hAnsi="Times New Roman" w:eastAsia="仿宋" w:cs="Times New Roman"/>
                <w:szCs w:val="21"/>
              </w:rPr>
            </w:pP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3909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其他税收收入</w:t>
            </w:r>
          </w:p>
        </w:tc>
        <w:tc>
          <w:tcPr>
            <w:tcW w:w="153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50</w:t>
            </w:r>
          </w:p>
        </w:tc>
        <w:tc>
          <w:tcPr>
            <w:tcW w:w="109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0</w:t>
            </w:r>
          </w:p>
        </w:tc>
        <w:tc>
          <w:tcPr>
            <w:tcW w:w="1416"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50</w:t>
            </w:r>
          </w:p>
        </w:tc>
        <w:tc>
          <w:tcPr>
            <w:tcW w:w="279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自然资源海洋气象等</w:t>
            </w:r>
          </w:p>
        </w:tc>
        <w:tc>
          <w:tcPr>
            <w:tcW w:w="157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2043</w:t>
            </w:r>
          </w:p>
        </w:tc>
        <w:tc>
          <w:tcPr>
            <w:tcW w:w="1200" w:type="dxa"/>
            <w:vAlign w:val="center"/>
          </w:tcPr>
          <w:p>
            <w:pPr>
              <w:jc w:val="right"/>
              <w:rPr>
                <w:rFonts w:hint="default" w:ascii="Times New Roman" w:hAnsi="Times New Roman" w:eastAsia="仿宋" w:cs="Times New Roman"/>
                <w:szCs w:val="21"/>
              </w:rPr>
            </w:pP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2043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非税收入</w:t>
            </w:r>
          </w:p>
        </w:tc>
        <w:tc>
          <w:tcPr>
            <w:tcW w:w="153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92721</w:t>
            </w:r>
          </w:p>
        </w:tc>
        <w:tc>
          <w:tcPr>
            <w:tcW w:w="109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91279</w:t>
            </w:r>
          </w:p>
        </w:tc>
        <w:tc>
          <w:tcPr>
            <w:tcW w:w="1416"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184000</w:t>
            </w:r>
          </w:p>
        </w:tc>
        <w:tc>
          <w:tcPr>
            <w:tcW w:w="279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住房保障</w:t>
            </w:r>
          </w:p>
        </w:tc>
        <w:tc>
          <w:tcPr>
            <w:tcW w:w="157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10260</w:t>
            </w:r>
          </w:p>
        </w:tc>
        <w:tc>
          <w:tcPr>
            <w:tcW w:w="120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24328</w:t>
            </w: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34588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szCs w:val="21"/>
              </w:rPr>
            </w:pPr>
          </w:p>
        </w:tc>
        <w:tc>
          <w:tcPr>
            <w:tcW w:w="1530" w:type="dxa"/>
            <w:vAlign w:val="center"/>
          </w:tcPr>
          <w:p>
            <w:pPr>
              <w:jc w:val="right"/>
              <w:rPr>
                <w:rFonts w:hint="default" w:ascii="Times New Roman" w:hAnsi="Times New Roman" w:eastAsia="仿宋" w:cs="Times New Roman"/>
                <w:szCs w:val="21"/>
              </w:rPr>
            </w:pPr>
          </w:p>
        </w:tc>
        <w:tc>
          <w:tcPr>
            <w:tcW w:w="1095" w:type="dxa"/>
            <w:vAlign w:val="top"/>
          </w:tcPr>
          <w:p>
            <w:pPr>
              <w:rPr>
                <w:rFonts w:hint="default" w:ascii="Times New Roman" w:hAnsi="Times New Roman" w:eastAsia="仿宋" w:cs="Times New Roman"/>
                <w:szCs w:val="21"/>
              </w:rPr>
            </w:pPr>
          </w:p>
        </w:tc>
        <w:tc>
          <w:tcPr>
            <w:tcW w:w="1416" w:type="dxa"/>
            <w:vAlign w:val="top"/>
          </w:tcPr>
          <w:p>
            <w:pPr>
              <w:rPr>
                <w:rFonts w:hint="default" w:ascii="Times New Roman" w:hAnsi="Times New Roman" w:eastAsia="仿宋" w:cs="Times New Roman"/>
                <w:szCs w:val="21"/>
              </w:rPr>
            </w:pPr>
          </w:p>
        </w:tc>
        <w:tc>
          <w:tcPr>
            <w:tcW w:w="279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粮油物资储备</w:t>
            </w:r>
          </w:p>
        </w:tc>
        <w:tc>
          <w:tcPr>
            <w:tcW w:w="157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1160</w:t>
            </w:r>
          </w:p>
        </w:tc>
        <w:tc>
          <w:tcPr>
            <w:tcW w:w="120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2548</w:t>
            </w: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3708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szCs w:val="21"/>
              </w:rPr>
            </w:pPr>
          </w:p>
        </w:tc>
        <w:tc>
          <w:tcPr>
            <w:tcW w:w="1530" w:type="dxa"/>
            <w:vAlign w:val="center"/>
          </w:tcPr>
          <w:p>
            <w:pPr>
              <w:jc w:val="right"/>
              <w:rPr>
                <w:rFonts w:hint="default" w:ascii="Times New Roman" w:hAnsi="Times New Roman" w:eastAsia="仿宋" w:cs="Times New Roman"/>
                <w:szCs w:val="21"/>
              </w:rPr>
            </w:pPr>
          </w:p>
        </w:tc>
        <w:tc>
          <w:tcPr>
            <w:tcW w:w="1095" w:type="dxa"/>
            <w:vAlign w:val="top"/>
          </w:tcPr>
          <w:p>
            <w:pPr>
              <w:rPr>
                <w:rFonts w:hint="default" w:ascii="Times New Roman" w:hAnsi="Times New Roman" w:eastAsia="仿宋" w:cs="Times New Roman"/>
                <w:szCs w:val="21"/>
              </w:rPr>
            </w:pPr>
          </w:p>
        </w:tc>
        <w:tc>
          <w:tcPr>
            <w:tcW w:w="1416" w:type="dxa"/>
            <w:vAlign w:val="top"/>
          </w:tcPr>
          <w:p>
            <w:pPr>
              <w:rPr>
                <w:rFonts w:hint="default" w:ascii="Times New Roman" w:hAnsi="Times New Roman" w:eastAsia="仿宋" w:cs="Times New Roman"/>
                <w:szCs w:val="21"/>
              </w:rPr>
            </w:pPr>
          </w:p>
        </w:tc>
        <w:tc>
          <w:tcPr>
            <w:tcW w:w="279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灾害防治及应急管理</w:t>
            </w:r>
          </w:p>
        </w:tc>
        <w:tc>
          <w:tcPr>
            <w:tcW w:w="157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4485</w:t>
            </w:r>
          </w:p>
        </w:tc>
        <w:tc>
          <w:tcPr>
            <w:tcW w:w="1200" w:type="dxa"/>
            <w:vAlign w:val="center"/>
          </w:tcPr>
          <w:p>
            <w:pPr>
              <w:jc w:val="right"/>
              <w:rPr>
                <w:rFonts w:hint="default" w:ascii="Times New Roman" w:hAnsi="Times New Roman" w:eastAsia="仿宋" w:cs="Times New Roman"/>
                <w:szCs w:val="21"/>
              </w:rPr>
            </w:pP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4485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szCs w:val="21"/>
              </w:rPr>
            </w:pPr>
          </w:p>
        </w:tc>
        <w:tc>
          <w:tcPr>
            <w:tcW w:w="1530" w:type="dxa"/>
            <w:vAlign w:val="top"/>
          </w:tcPr>
          <w:p>
            <w:pPr>
              <w:rPr>
                <w:rFonts w:hint="default" w:ascii="Times New Roman" w:hAnsi="Times New Roman" w:eastAsia="仿宋" w:cs="Times New Roman"/>
                <w:szCs w:val="21"/>
              </w:rPr>
            </w:pPr>
          </w:p>
        </w:tc>
        <w:tc>
          <w:tcPr>
            <w:tcW w:w="1095" w:type="dxa"/>
            <w:vAlign w:val="top"/>
          </w:tcPr>
          <w:p>
            <w:pPr>
              <w:rPr>
                <w:rFonts w:hint="default" w:ascii="Times New Roman" w:hAnsi="Times New Roman" w:eastAsia="仿宋" w:cs="Times New Roman"/>
                <w:szCs w:val="21"/>
              </w:rPr>
            </w:pPr>
          </w:p>
        </w:tc>
        <w:tc>
          <w:tcPr>
            <w:tcW w:w="1416" w:type="dxa"/>
            <w:vAlign w:val="top"/>
          </w:tcPr>
          <w:p>
            <w:pPr>
              <w:rPr>
                <w:rFonts w:hint="default" w:ascii="Times New Roman" w:hAnsi="Times New Roman" w:eastAsia="仿宋" w:cs="Times New Roman"/>
                <w:szCs w:val="21"/>
              </w:rPr>
            </w:pPr>
          </w:p>
        </w:tc>
        <w:tc>
          <w:tcPr>
            <w:tcW w:w="279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预备费</w:t>
            </w:r>
          </w:p>
        </w:tc>
        <w:tc>
          <w:tcPr>
            <w:tcW w:w="157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14000</w:t>
            </w:r>
          </w:p>
        </w:tc>
        <w:tc>
          <w:tcPr>
            <w:tcW w:w="1200" w:type="dxa"/>
            <w:vAlign w:val="center"/>
          </w:tcPr>
          <w:p>
            <w:pPr>
              <w:jc w:val="right"/>
              <w:rPr>
                <w:rFonts w:hint="default" w:ascii="Times New Roman" w:hAnsi="Times New Roman" w:eastAsia="仿宋" w:cs="Times New Roman"/>
                <w:szCs w:val="21"/>
              </w:rPr>
            </w:pP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szCs w:val="21"/>
              </w:rPr>
            </w:pPr>
          </w:p>
        </w:tc>
        <w:tc>
          <w:tcPr>
            <w:tcW w:w="1530" w:type="dxa"/>
            <w:vAlign w:val="top"/>
          </w:tcPr>
          <w:p>
            <w:pPr>
              <w:rPr>
                <w:rFonts w:hint="default" w:ascii="Times New Roman" w:hAnsi="Times New Roman" w:eastAsia="仿宋" w:cs="Times New Roman"/>
                <w:szCs w:val="21"/>
              </w:rPr>
            </w:pPr>
          </w:p>
        </w:tc>
        <w:tc>
          <w:tcPr>
            <w:tcW w:w="1095" w:type="dxa"/>
            <w:vAlign w:val="top"/>
          </w:tcPr>
          <w:p>
            <w:pPr>
              <w:rPr>
                <w:rFonts w:hint="default" w:ascii="Times New Roman" w:hAnsi="Times New Roman" w:eastAsia="仿宋" w:cs="Times New Roman"/>
                <w:szCs w:val="21"/>
              </w:rPr>
            </w:pPr>
          </w:p>
        </w:tc>
        <w:tc>
          <w:tcPr>
            <w:tcW w:w="1416" w:type="dxa"/>
            <w:vAlign w:val="top"/>
          </w:tcPr>
          <w:p>
            <w:pPr>
              <w:rPr>
                <w:rFonts w:hint="default" w:ascii="Times New Roman" w:hAnsi="Times New Roman" w:eastAsia="仿宋" w:cs="Times New Roman"/>
                <w:szCs w:val="21"/>
              </w:rPr>
            </w:pPr>
          </w:p>
        </w:tc>
        <w:tc>
          <w:tcPr>
            <w:tcW w:w="279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其他支出</w:t>
            </w:r>
          </w:p>
        </w:tc>
        <w:tc>
          <w:tcPr>
            <w:tcW w:w="1575" w:type="dxa"/>
            <w:vAlign w:val="center"/>
          </w:tcPr>
          <w:p>
            <w:pPr>
              <w:jc w:val="right"/>
              <w:rPr>
                <w:rFonts w:hint="default" w:ascii="Times New Roman" w:hAnsi="Times New Roman" w:eastAsia="仿宋" w:cs="Times New Roman"/>
                <w:szCs w:val="21"/>
              </w:rPr>
            </w:pPr>
          </w:p>
        </w:tc>
        <w:tc>
          <w:tcPr>
            <w:tcW w:w="1200" w:type="dxa"/>
            <w:vAlign w:val="center"/>
          </w:tcPr>
          <w:p>
            <w:pPr>
              <w:jc w:val="right"/>
              <w:rPr>
                <w:rFonts w:hint="default" w:ascii="Times New Roman" w:hAnsi="Times New Roman" w:eastAsia="仿宋" w:cs="Times New Roman"/>
                <w:szCs w:val="21"/>
              </w:rPr>
            </w:pP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b/>
                <w:bCs/>
                <w:szCs w:val="21"/>
              </w:rPr>
            </w:pPr>
          </w:p>
        </w:tc>
        <w:tc>
          <w:tcPr>
            <w:tcW w:w="1530" w:type="dxa"/>
            <w:vAlign w:val="top"/>
          </w:tcPr>
          <w:p>
            <w:pPr>
              <w:rPr>
                <w:rFonts w:hint="default" w:ascii="Times New Roman" w:hAnsi="Times New Roman" w:eastAsia="仿宋" w:cs="Times New Roman"/>
                <w:b/>
                <w:bCs/>
                <w:szCs w:val="21"/>
              </w:rPr>
            </w:pPr>
          </w:p>
        </w:tc>
        <w:tc>
          <w:tcPr>
            <w:tcW w:w="1095" w:type="dxa"/>
            <w:vAlign w:val="top"/>
          </w:tcPr>
          <w:p>
            <w:pPr>
              <w:rPr>
                <w:rFonts w:hint="default" w:ascii="Times New Roman" w:hAnsi="Times New Roman" w:eastAsia="仿宋" w:cs="Times New Roman"/>
                <w:szCs w:val="21"/>
              </w:rPr>
            </w:pPr>
          </w:p>
        </w:tc>
        <w:tc>
          <w:tcPr>
            <w:tcW w:w="1416" w:type="dxa"/>
            <w:vAlign w:val="top"/>
          </w:tcPr>
          <w:p>
            <w:pPr>
              <w:rPr>
                <w:rFonts w:hint="default" w:ascii="Times New Roman" w:hAnsi="Times New Roman" w:eastAsia="仿宋" w:cs="Times New Roman"/>
                <w:b/>
                <w:bCs/>
                <w:szCs w:val="21"/>
              </w:rPr>
            </w:pPr>
          </w:p>
        </w:tc>
        <w:tc>
          <w:tcPr>
            <w:tcW w:w="2799" w:type="dxa"/>
            <w:vAlign w:val="center"/>
          </w:tcPr>
          <w:p>
            <w:pPr>
              <w:rPr>
                <w:rFonts w:hint="default" w:ascii="Times New Roman" w:hAnsi="Times New Roman" w:eastAsia="仿宋" w:cs="Times New Roman"/>
                <w:b/>
                <w:bCs/>
                <w:szCs w:val="21"/>
              </w:rPr>
            </w:pPr>
            <w:r>
              <w:rPr>
                <w:rFonts w:hint="default" w:ascii="Times New Roman" w:hAnsi="Times New Roman" w:eastAsia="仿宋" w:cs="Times New Roman"/>
                <w:szCs w:val="21"/>
              </w:rPr>
              <w:t>债务付息支出</w:t>
            </w:r>
          </w:p>
        </w:tc>
        <w:tc>
          <w:tcPr>
            <w:tcW w:w="157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3729</w:t>
            </w:r>
          </w:p>
        </w:tc>
        <w:tc>
          <w:tcPr>
            <w:tcW w:w="1200" w:type="dxa"/>
            <w:vAlign w:val="center"/>
          </w:tcPr>
          <w:p>
            <w:pPr>
              <w:jc w:val="right"/>
              <w:rPr>
                <w:rFonts w:hint="default" w:ascii="Times New Roman" w:hAnsi="Times New Roman" w:eastAsia="仿宋" w:cs="Times New Roman"/>
                <w:szCs w:val="21"/>
              </w:rPr>
            </w:pP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3729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b/>
                <w:bCs/>
                <w:szCs w:val="21"/>
              </w:rPr>
              <w:t>一般公共预算收入合计</w:t>
            </w:r>
          </w:p>
        </w:tc>
        <w:tc>
          <w:tcPr>
            <w:tcW w:w="1530"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1361436</w:t>
            </w:r>
          </w:p>
        </w:tc>
        <w:tc>
          <w:tcPr>
            <w:tcW w:w="109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b/>
                <w:color w:val="000000"/>
                <w:kern w:val="0"/>
                <w:szCs w:val="21"/>
              </w:rPr>
              <w:t>-1</w:t>
            </w:r>
            <w:r>
              <w:rPr>
                <w:rFonts w:hint="default" w:ascii="Times New Roman" w:hAnsi="Times New Roman" w:cs="Times New Roman"/>
                <w:b/>
                <w:color w:val="000000"/>
                <w:kern w:val="0"/>
                <w:szCs w:val="21"/>
                <w:lang w:val="en-US" w:eastAsia="zh-CN"/>
              </w:rPr>
              <w:t>5</w:t>
            </w:r>
            <w:r>
              <w:rPr>
                <w:rFonts w:hint="default" w:ascii="Times New Roman" w:hAnsi="Times New Roman" w:cs="Times New Roman"/>
                <w:b/>
                <w:color w:val="000000"/>
                <w:kern w:val="0"/>
                <w:szCs w:val="21"/>
              </w:rPr>
              <w:t>1436</w:t>
            </w:r>
          </w:p>
        </w:tc>
        <w:tc>
          <w:tcPr>
            <w:tcW w:w="1416"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12</w:t>
            </w:r>
            <w:r>
              <w:rPr>
                <w:rFonts w:hint="default" w:ascii="Times New Roman" w:hAnsi="Times New Roman" w:cs="Times New Roman"/>
                <w:b/>
                <w:color w:val="000000"/>
                <w:kern w:val="0"/>
                <w:szCs w:val="21"/>
                <w:lang w:val="en-US" w:eastAsia="zh-CN"/>
              </w:rPr>
              <w:t>1</w:t>
            </w:r>
            <w:r>
              <w:rPr>
                <w:rFonts w:hint="default" w:ascii="Times New Roman" w:hAnsi="Times New Roman" w:cs="Times New Roman"/>
                <w:b/>
                <w:color w:val="000000"/>
                <w:kern w:val="0"/>
                <w:szCs w:val="21"/>
              </w:rPr>
              <w:t>0000</w:t>
            </w:r>
          </w:p>
        </w:tc>
        <w:tc>
          <w:tcPr>
            <w:tcW w:w="279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b/>
                <w:bCs/>
                <w:szCs w:val="21"/>
              </w:rPr>
              <w:t>一般公共预算支出合计</w:t>
            </w:r>
          </w:p>
        </w:tc>
        <w:tc>
          <w:tcPr>
            <w:tcW w:w="1575"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651132</w:t>
            </w:r>
          </w:p>
        </w:tc>
        <w:tc>
          <w:tcPr>
            <w:tcW w:w="1200"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66629</w:t>
            </w:r>
          </w:p>
        </w:tc>
        <w:tc>
          <w:tcPr>
            <w:tcW w:w="1514"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717761</w:t>
            </w:r>
          </w:p>
        </w:tc>
      </w:tr>
    </w:tbl>
    <w:p>
      <w:pPr>
        <w:jc w:val="center"/>
        <w:rPr>
          <w:rFonts w:hint="default" w:ascii="Times New Roman" w:hAnsi="Times New Roman" w:eastAsia="黑体" w:cs="Times New Roman"/>
          <w:szCs w:val="21"/>
        </w:rPr>
        <w:sectPr>
          <w:footerReference r:id="rId9" w:type="default"/>
          <w:pgSz w:w="16838" w:h="11906" w:orient="landscape"/>
          <w:pgMar w:top="1797" w:right="1440" w:bottom="1797" w:left="1440" w:header="1077" w:footer="1247" w:gutter="0"/>
          <w:pgNumType w:start="1"/>
          <w:cols w:space="720" w:num="1"/>
          <w:docGrid w:linePitch="312" w:charSpace="0"/>
        </w:sectPr>
      </w:pP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1530"/>
        <w:gridCol w:w="1095"/>
        <w:gridCol w:w="1416"/>
        <w:gridCol w:w="2799"/>
        <w:gridCol w:w="1575"/>
        <w:gridCol w:w="1200"/>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7086" w:type="dxa"/>
            <w:gridSpan w:val="4"/>
            <w:vAlign w:val="center"/>
          </w:tcPr>
          <w:p>
            <w:pPr>
              <w:jc w:val="center"/>
              <w:rPr>
                <w:rFonts w:hint="default" w:ascii="Times New Roman" w:hAnsi="Times New Roman" w:eastAsia="仿宋" w:cs="Times New Roman"/>
                <w:szCs w:val="21"/>
              </w:rPr>
            </w:pPr>
            <w:r>
              <w:rPr>
                <w:rFonts w:hint="default" w:ascii="Times New Roman" w:hAnsi="Times New Roman" w:eastAsia="黑体" w:cs="Times New Roman"/>
                <w:szCs w:val="21"/>
              </w:rPr>
              <w:t>收入</w:t>
            </w:r>
          </w:p>
        </w:tc>
        <w:tc>
          <w:tcPr>
            <w:tcW w:w="7088" w:type="dxa"/>
            <w:gridSpan w:val="4"/>
            <w:vAlign w:val="center"/>
          </w:tcPr>
          <w:p>
            <w:pPr>
              <w:jc w:val="center"/>
              <w:rPr>
                <w:rFonts w:hint="default" w:ascii="Times New Roman" w:hAnsi="Times New Roman" w:eastAsia="仿宋" w:cs="Times New Roman"/>
                <w:szCs w:val="21"/>
              </w:rPr>
            </w:pPr>
            <w:r>
              <w:rPr>
                <w:rFonts w:hint="default" w:ascii="Times New Roman" w:hAnsi="Times New Roman" w:eastAsia="黑体" w:cs="Times New Roman"/>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jc w:val="center"/>
              <w:rPr>
                <w:rFonts w:hint="default" w:ascii="Times New Roman" w:hAnsi="Times New Roman" w:eastAsia="仿宋" w:cs="Times New Roman"/>
                <w:b/>
                <w:bCs/>
                <w:szCs w:val="21"/>
              </w:rPr>
            </w:pPr>
            <w:r>
              <w:rPr>
                <w:rFonts w:hint="default" w:ascii="Times New Roman" w:hAnsi="Times New Roman" w:eastAsia="仿宋" w:cs="Times New Roman"/>
                <w:szCs w:val="21"/>
              </w:rPr>
              <w:t>项目</w:t>
            </w:r>
          </w:p>
        </w:tc>
        <w:tc>
          <w:tcPr>
            <w:tcW w:w="1530" w:type="dxa"/>
            <w:vAlign w:val="center"/>
          </w:tcPr>
          <w:p>
            <w:pPr>
              <w:jc w:val="center"/>
              <w:rPr>
                <w:rFonts w:hint="default" w:ascii="Times New Roman" w:hAnsi="Times New Roman" w:eastAsia="仿宋" w:cs="Times New Roman"/>
                <w:b/>
                <w:bCs/>
                <w:szCs w:val="21"/>
              </w:rPr>
            </w:pPr>
            <w:r>
              <w:rPr>
                <w:rFonts w:hint="default" w:ascii="Times New Roman" w:hAnsi="Times New Roman" w:eastAsia="仿宋" w:cs="Times New Roman"/>
                <w:szCs w:val="21"/>
              </w:rPr>
              <w:t>年初预算数</w:t>
            </w:r>
          </w:p>
        </w:tc>
        <w:tc>
          <w:tcPr>
            <w:tcW w:w="1095"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调整数</w:t>
            </w:r>
          </w:p>
        </w:tc>
        <w:tc>
          <w:tcPr>
            <w:tcW w:w="1416" w:type="dxa"/>
            <w:vAlign w:val="center"/>
          </w:tcPr>
          <w:p>
            <w:pPr>
              <w:jc w:val="center"/>
              <w:rPr>
                <w:rFonts w:hint="default" w:ascii="Times New Roman" w:hAnsi="Times New Roman" w:eastAsia="仿宋" w:cs="Times New Roman"/>
                <w:b/>
                <w:bCs/>
                <w:szCs w:val="21"/>
              </w:rPr>
            </w:pPr>
            <w:r>
              <w:rPr>
                <w:rFonts w:hint="default" w:ascii="Times New Roman" w:hAnsi="Times New Roman" w:eastAsia="仿宋" w:cs="Times New Roman"/>
                <w:szCs w:val="21"/>
              </w:rPr>
              <w:t>调整预算数</w:t>
            </w:r>
          </w:p>
        </w:tc>
        <w:tc>
          <w:tcPr>
            <w:tcW w:w="2799" w:type="dxa"/>
            <w:vAlign w:val="center"/>
          </w:tcPr>
          <w:p>
            <w:pPr>
              <w:jc w:val="center"/>
              <w:rPr>
                <w:rFonts w:hint="default" w:ascii="Times New Roman" w:hAnsi="Times New Roman" w:eastAsia="仿宋" w:cs="Times New Roman"/>
                <w:b/>
                <w:bCs/>
                <w:szCs w:val="21"/>
              </w:rPr>
            </w:pPr>
            <w:r>
              <w:rPr>
                <w:rFonts w:hint="default" w:ascii="Times New Roman" w:hAnsi="Times New Roman" w:eastAsia="仿宋" w:cs="Times New Roman"/>
                <w:szCs w:val="21"/>
              </w:rPr>
              <w:t>项目</w:t>
            </w:r>
          </w:p>
        </w:tc>
        <w:tc>
          <w:tcPr>
            <w:tcW w:w="1575" w:type="dxa"/>
            <w:vAlign w:val="center"/>
          </w:tcPr>
          <w:p>
            <w:pPr>
              <w:jc w:val="center"/>
              <w:rPr>
                <w:rFonts w:hint="default" w:ascii="Times New Roman" w:hAnsi="Times New Roman" w:eastAsia="仿宋" w:cs="Times New Roman"/>
                <w:b/>
                <w:bCs/>
                <w:szCs w:val="21"/>
              </w:rPr>
            </w:pPr>
            <w:r>
              <w:rPr>
                <w:rFonts w:hint="default" w:ascii="Times New Roman" w:hAnsi="Times New Roman" w:eastAsia="仿宋" w:cs="Times New Roman"/>
                <w:szCs w:val="21"/>
              </w:rPr>
              <w:t>年初预算数</w:t>
            </w:r>
          </w:p>
        </w:tc>
        <w:tc>
          <w:tcPr>
            <w:tcW w:w="1200" w:type="dxa"/>
            <w:vAlign w:val="center"/>
          </w:tcPr>
          <w:p>
            <w:pPr>
              <w:jc w:val="center"/>
              <w:rPr>
                <w:rFonts w:hint="default" w:ascii="Times New Roman" w:hAnsi="Times New Roman" w:eastAsia="仿宋" w:cs="Times New Roman"/>
                <w:b/>
                <w:bCs/>
                <w:szCs w:val="21"/>
              </w:rPr>
            </w:pPr>
            <w:r>
              <w:rPr>
                <w:rFonts w:hint="default" w:ascii="Times New Roman" w:hAnsi="Times New Roman" w:eastAsia="仿宋" w:cs="Times New Roman"/>
                <w:szCs w:val="21"/>
              </w:rPr>
              <w:t>调整数</w:t>
            </w:r>
          </w:p>
        </w:tc>
        <w:tc>
          <w:tcPr>
            <w:tcW w:w="1514" w:type="dxa"/>
            <w:vAlign w:val="center"/>
          </w:tcPr>
          <w:p>
            <w:pPr>
              <w:jc w:val="center"/>
              <w:rPr>
                <w:rFonts w:hint="default" w:ascii="Times New Roman" w:hAnsi="Times New Roman" w:eastAsia="仿宋" w:cs="Times New Roman"/>
                <w:b/>
                <w:bCs/>
                <w:szCs w:val="21"/>
              </w:rPr>
            </w:pPr>
            <w:r>
              <w:rPr>
                <w:rFonts w:hint="default" w:ascii="Times New Roman" w:hAnsi="Times New Roman" w:eastAsia="仿宋" w:cs="Times New Roman"/>
                <w:szCs w:val="21"/>
              </w:rPr>
              <w:t>调整预算数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b/>
                <w:bCs/>
                <w:szCs w:val="21"/>
              </w:rPr>
            </w:pPr>
            <w:r>
              <w:rPr>
                <w:rFonts w:hint="default" w:ascii="Times New Roman" w:hAnsi="Times New Roman" w:eastAsia="仿宋" w:cs="Times New Roman"/>
                <w:b/>
                <w:bCs/>
                <w:szCs w:val="21"/>
              </w:rPr>
              <w:t>上级补助收入</w:t>
            </w:r>
          </w:p>
        </w:tc>
        <w:tc>
          <w:tcPr>
            <w:tcW w:w="1530"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133931</w:t>
            </w:r>
          </w:p>
        </w:tc>
        <w:tc>
          <w:tcPr>
            <w:tcW w:w="109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b/>
                <w:color w:val="000000"/>
                <w:kern w:val="0"/>
                <w:szCs w:val="21"/>
                <w:lang w:val="en-US" w:eastAsia="zh-CN"/>
              </w:rPr>
              <w:t>101</w:t>
            </w:r>
            <w:r>
              <w:rPr>
                <w:rFonts w:hint="default" w:ascii="Times New Roman" w:hAnsi="Times New Roman" w:cs="Times New Roman"/>
                <w:b/>
                <w:color w:val="000000"/>
                <w:kern w:val="0"/>
                <w:szCs w:val="21"/>
              </w:rPr>
              <w:t>047</w:t>
            </w:r>
          </w:p>
        </w:tc>
        <w:tc>
          <w:tcPr>
            <w:tcW w:w="1416"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2</w:t>
            </w:r>
            <w:r>
              <w:rPr>
                <w:rFonts w:hint="default" w:ascii="Times New Roman" w:hAnsi="Times New Roman" w:cs="Times New Roman"/>
                <w:b/>
                <w:color w:val="000000"/>
                <w:kern w:val="0"/>
                <w:szCs w:val="21"/>
                <w:lang w:val="en-US" w:eastAsia="zh-CN"/>
              </w:rPr>
              <w:t>3</w:t>
            </w:r>
            <w:r>
              <w:rPr>
                <w:rFonts w:hint="default" w:ascii="Times New Roman" w:hAnsi="Times New Roman" w:cs="Times New Roman"/>
                <w:b/>
                <w:color w:val="000000"/>
                <w:kern w:val="0"/>
                <w:szCs w:val="21"/>
              </w:rPr>
              <w:t>4978</w:t>
            </w:r>
          </w:p>
        </w:tc>
        <w:tc>
          <w:tcPr>
            <w:tcW w:w="2799" w:type="dxa"/>
            <w:vAlign w:val="center"/>
          </w:tcPr>
          <w:p>
            <w:pPr>
              <w:rPr>
                <w:rFonts w:hint="default" w:ascii="Times New Roman" w:hAnsi="Times New Roman" w:eastAsia="仿宋" w:cs="Times New Roman"/>
                <w:b/>
                <w:bCs/>
                <w:szCs w:val="21"/>
              </w:rPr>
            </w:pPr>
            <w:r>
              <w:rPr>
                <w:rFonts w:hint="default" w:ascii="Times New Roman" w:hAnsi="Times New Roman" w:eastAsia="仿宋" w:cs="Times New Roman"/>
                <w:b/>
                <w:bCs/>
                <w:szCs w:val="21"/>
              </w:rPr>
              <w:t>上解上级支出</w:t>
            </w:r>
          </w:p>
        </w:tc>
        <w:tc>
          <w:tcPr>
            <w:tcW w:w="1575"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933290</w:t>
            </w:r>
          </w:p>
        </w:tc>
        <w:tc>
          <w:tcPr>
            <w:tcW w:w="1200"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-61126</w:t>
            </w:r>
          </w:p>
        </w:tc>
        <w:tc>
          <w:tcPr>
            <w:tcW w:w="1514"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872164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 xml:space="preserve">  返还性收入</w:t>
            </w:r>
          </w:p>
        </w:tc>
        <w:tc>
          <w:tcPr>
            <w:tcW w:w="153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70711</w:t>
            </w:r>
          </w:p>
        </w:tc>
        <w:tc>
          <w:tcPr>
            <w:tcW w:w="1095" w:type="dxa"/>
            <w:vAlign w:val="center"/>
          </w:tcPr>
          <w:p>
            <w:pPr>
              <w:jc w:val="right"/>
              <w:rPr>
                <w:rFonts w:hint="default" w:ascii="Times New Roman" w:hAnsi="Times New Roman" w:eastAsia="仿宋" w:cs="Times New Roman"/>
                <w:szCs w:val="21"/>
              </w:rPr>
            </w:pPr>
          </w:p>
        </w:tc>
        <w:tc>
          <w:tcPr>
            <w:tcW w:w="1416"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70711</w:t>
            </w:r>
          </w:p>
        </w:tc>
        <w:tc>
          <w:tcPr>
            <w:tcW w:w="2799" w:type="dxa"/>
            <w:vAlign w:val="center"/>
          </w:tcPr>
          <w:p>
            <w:pPr>
              <w:rPr>
                <w:rFonts w:hint="default" w:ascii="Times New Roman" w:hAnsi="Times New Roman" w:eastAsia="仿宋" w:cs="Times New Roman"/>
                <w:b/>
                <w:bCs/>
                <w:szCs w:val="21"/>
              </w:rPr>
            </w:pPr>
          </w:p>
        </w:tc>
        <w:tc>
          <w:tcPr>
            <w:tcW w:w="1575" w:type="dxa"/>
            <w:vAlign w:val="center"/>
          </w:tcPr>
          <w:p>
            <w:pPr>
              <w:jc w:val="right"/>
              <w:rPr>
                <w:rFonts w:hint="default" w:ascii="Times New Roman" w:hAnsi="Times New Roman" w:eastAsia="仿宋" w:cs="Times New Roman"/>
                <w:szCs w:val="21"/>
              </w:rPr>
            </w:pPr>
          </w:p>
        </w:tc>
        <w:tc>
          <w:tcPr>
            <w:tcW w:w="1200" w:type="dxa"/>
            <w:vAlign w:val="center"/>
          </w:tcPr>
          <w:p>
            <w:pPr>
              <w:jc w:val="right"/>
              <w:rPr>
                <w:rFonts w:hint="default" w:ascii="Times New Roman" w:hAnsi="Times New Roman" w:eastAsia="仿宋" w:cs="Times New Roman"/>
                <w:szCs w:val="21"/>
              </w:rPr>
            </w:pPr>
          </w:p>
        </w:tc>
        <w:tc>
          <w:tcPr>
            <w:tcW w:w="1514" w:type="dxa"/>
            <w:vAlign w:val="center"/>
          </w:tcPr>
          <w:p>
            <w:pPr>
              <w:jc w:val="right"/>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 xml:space="preserve">  一般性转移支付收入</w:t>
            </w:r>
          </w:p>
        </w:tc>
        <w:tc>
          <w:tcPr>
            <w:tcW w:w="153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50220</w:t>
            </w:r>
          </w:p>
        </w:tc>
        <w:tc>
          <w:tcPr>
            <w:tcW w:w="109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lang w:val="en-US" w:eastAsia="zh-CN"/>
              </w:rPr>
              <w:t>10</w:t>
            </w:r>
            <w:r>
              <w:rPr>
                <w:rFonts w:hint="default" w:ascii="Times New Roman" w:hAnsi="Times New Roman" w:cs="Times New Roman"/>
                <w:color w:val="000000"/>
                <w:kern w:val="0"/>
                <w:szCs w:val="21"/>
              </w:rPr>
              <w:t>1047</w:t>
            </w:r>
          </w:p>
        </w:tc>
        <w:tc>
          <w:tcPr>
            <w:tcW w:w="1416"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w:t>
            </w:r>
            <w:r>
              <w:rPr>
                <w:rFonts w:hint="default" w:ascii="Times New Roman" w:hAnsi="Times New Roman" w:cs="Times New Roman"/>
                <w:color w:val="000000"/>
                <w:kern w:val="0"/>
                <w:szCs w:val="21"/>
                <w:lang w:val="en-US" w:eastAsia="zh-CN"/>
              </w:rPr>
              <w:t>5</w:t>
            </w:r>
            <w:r>
              <w:rPr>
                <w:rFonts w:hint="default" w:ascii="Times New Roman" w:hAnsi="Times New Roman" w:cs="Times New Roman"/>
                <w:color w:val="000000"/>
                <w:kern w:val="0"/>
                <w:szCs w:val="21"/>
              </w:rPr>
              <w:t>1267</w:t>
            </w:r>
          </w:p>
        </w:tc>
        <w:tc>
          <w:tcPr>
            <w:tcW w:w="2799" w:type="dxa"/>
            <w:vAlign w:val="center"/>
          </w:tcPr>
          <w:p>
            <w:pPr>
              <w:rPr>
                <w:rFonts w:hint="default" w:ascii="Times New Roman" w:hAnsi="Times New Roman" w:eastAsia="仿宋" w:cs="Times New Roman"/>
                <w:b/>
                <w:bCs/>
                <w:szCs w:val="21"/>
              </w:rPr>
            </w:pPr>
          </w:p>
        </w:tc>
        <w:tc>
          <w:tcPr>
            <w:tcW w:w="1575" w:type="dxa"/>
            <w:vAlign w:val="center"/>
          </w:tcPr>
          <w:p>
            <w:pPr>
              <w:jc w:val="right"/>
              <w:rPr>
                <w:rFonts w:hint="default" w:ascii="Times New Roman" w:hAnsi="Times New Roman" w:eastAsia="仿宋" w:cs="Times New Roman"/>
                <w:szCs w:val="21"/>
              </w:rPr>
            </w:pPr>
          </w:p>
        </w:tc>
        <w:tc>
          <w:tcPr>
            <w:tcW w:w="1200" w:type="dxa"/>
            <w:vAlign w:val="center"/>
          </w:tcPr>
          <w:p>
            <w:pPr>
              <w:jc w:val="right"/>
              <w:rPr>
                <w:rFonts w:hint="default" w:ascii="Times New Roman" w:hAnsi="Times New Roman" w:eastAsia="仿宋" w:cs="Times New Roman"/>
                <w:szCs w:val="21"/>
              </w:rPr>
            </w:pPr>
          </w:p>
        </w:tc>
        <w:tc>
          <w:tcPr>
            <w:tcW w:w="1514" w:type="dxa"/>
            <w:vAlign w:val="center"/>
          </w:tcPr>
          <w:p>
            <w:pPr>
              <w:jc w:val="right"/>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 xml:space="preserve">  专项转移支付收入</w:t>
            </w:r>
          </w:p>
        </w:tc>
        <w:tc>
          <w:tcPr>
            <w:tcW w:w="153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13000</w:t>
            </w:r>
          </w:p>
        </w:tc>
        <w:tc>
          <w:tcPr>
            <w:tcW w:w="1095" w:type="dxa"/>
            <w:vAlign w:val="center"/>
          </w:tcPr>
          <w:p>
            <w:pPr>
              <w:jc w:val="right"/>
              <w:rPr>
                <w:rFonts w:hint="default" w:ascii="Times New Roman" w:hAnsi="Times New Roman" w:eastAsia="仿宋" w:cs="Times New Roman"/>
                <w:szCs w:val="21"/>
              </w:rPr>
            </w:pPr>
          </w:p>
        </w:tc>
        <w:tc>
          <w:tcPr>
            <w:tcW w:w="1416"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13000</w:t>
            </w:r>
          </w:p>
        </w:tc>
        <w:tc>
          <w:tcPr>
            <w:tcW w:w="2799" w:type="dxa"/>
            <w:vAlign w:val="center"/>
          </w:tcPr>
          <w:p>
            <w:pPr>
              <w:rPr>
                <w:rFonts w:hint="default" w:ascii="Times New Roman" w:hAnsi="Times New Roman" w:eastAsia="仿宋" w:cs="Times New Roman"/>
                <w:b/>
                <w:bCs/>
                <w:szCs w:val="21"/>
              </w:rPr>
            </w:pPr>
          </w:p>
        </w:tc>
        <w:tc>
          <w:tcPr>
            <w:tcW w:w="1575" w:type="dxa"/>
            <w:vAlign w:val="center"/>
          </w:tcPr>
          <w:p>
            <w:pPr>
              <w:jc w:val="right"/>
              <w:rPr>
                <w:rFonts w:hint="default" w:ascii="Times New Roman" w:hAnsi="Times New Roman" w:eastAsia="仿宋" w:cs="Times New Roman"/>
                <w:szCs w:val="21"/>
              </w:rPr>
            </w:pPr>
          </w:p>
        </w:tc>
        <w:tc>
          <w:tcPr>
            <w:tcW w:w="1200" w:type="dxa"/>
            <w:vAlign w:val="center"/>
          </w:tcPr>
          <w:p>
            <w:pPr>
              <w:jc w:val="right"/>
              <w:rPr>
                <w:rFonts w:hint="default" w:ascii="Times New Roman" w:hAnsi="Times New Roman" w:eastAsia="仿宋" w:cs="Times New Roman"/>
                <w:szCs w:val="21"/>
              </w:rPr>
            </w:pPr>
          </w:p>
        </w:tc>
        <w:tc>
          <w:tcPr>
            <w:tcW w:w="1514" w:type="dxa"/>
            <w:vAlign w:val="center"/>
          </w:tcPr>
          <w:p>
            <w:pPr>
              <w:jc w:val="right"/>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b/>
                <w:bCs/>
                <w:szCs w:val="21"/>
              </w:rPr>
            </w:pPr>
            <w:r>
              <w:rPr>
                <w:rFonts w:hint="default" w:ascii="Times New Roman" w:hAnsi="Times New Roman" w:eastAsia="仿宋" w:cs="Times New Roman"/>
                <w:b/>
                <w:bCs/>
                <w:szCs w:val="21"/>
              </w:rPr>
              <w:t>上年结转</w:t>
            </w:r>
          </w:p>
        </w:tc>
        <w:tc>
          <w:tcPr>
            <w:tcW w:w="1530"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9055</w:t>
            </w:r>
          </w:p>
        </w:tc>
        <w:tc>
          <w:tcPr>
            <w:tcW w:w="1095" w:type="dxa"/>
            <w:vAlign w:val="center"/>
          </w:tcPr>
          <w:p>
            <w:pPr>
              <w:jc w:val="right"/>
              <w:rPr>
                <w:rFonts w:hint="default" w:ascii="Times New Roman" w:hAnsi="Times New Roman" w:eastAsia="仿宋" w:cs="Times New Roman"/>
                <w:b/>
                <w:bCs/>
                <w:szCs w:val="21"/>
              </w:rPr>
            </w:pPr>
          </w:p>
        </w:tc>
        <w:tc>
          <w:tcPr>
            <w:tcW w:w="1416"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bCs/>
                <w:color w:val="000000"/>
                <w:kern w:val="0"/>
                <w:szCs w:val="21"/>
              </w:rPr>
              <w:t>9055</w:t>
            </w:r>
          </w:p>
        </w:tc>
        <w:tc>
          <w:tcPr>
            <w:tcW w:w="2799" w:type="dxa"/>
            <w:vAlign w:val="center"/>
          </w:tcPr>
          <w:p>
            <w:pPr>
              <w:rPr>
                <w:rFonts w:hint="default" w:ascii="Times New Roman" w:hAnsi="Times New Roman" w:eastAsia="仿宋" w:cs="Times New Roman"/>
                <w:b/>
                <w:bCs/>
                <w:szCs w:val="21"/>
              </w:rPr>
            </w:pPr>
          </w:p>
        </w:tc>
        <w:tc>
          <w:tcPr>
            <w:tcW w:w="1575" w:type="dxa"/>
            <w:vAlign w:val="center"/>
          </w:tcPr>
          <w:p>
            <w:pPr>
              <w:jc w:val="right"/>
              <w:rPr>
                <w:rFonts w:hint="default" w:ascii="Times New Roman" w:hAnsi="Times New Roman" w:eastAsia="仿宋" w:cs="Times New Roman"/>
                <w:szCs w:val="21"/>
              </w:rPr>
            </w:pPr>
          </w:p>
        </w:tc>
        <w:tc>
          <w:tcPr>
            <w:tcW w:w="1200" w:type="dxa"/>
            <w:vAlign w:val="center"/>
          </w:tcPr>
          <w:p>
            <w:pPr>
              <w:jc w:val="right"/>
              <w:rPr>
                <w:rFonts w:hint="default" w:ascii="Times New Roman" w:hAnsi="Times New Roman" w:eastAsia="仿宋" w:cs="Times New Roman"/>
                <w:szCs w:val="21"/>
              </w:rPr>
            </w:pPr>
          </w:p>
        </w:tc>
        <w:tc>
          <w:tcPr>
            <w:tcW w:w="1514" w:type="dxa"/>
            <w:vAlign w:val="center"/>
          </w:tcPr>
          <w:p>
            <w:pPr>
              <w:jc w:val="right"/>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b/>
                <w:bCs/>
                <w:szCs w:val="21"/>
              </w:rPr>
            </w:pPr>
            <w:r>
              <w:rPr>
                <w:rFonts w:hint="default" w:ascii="Times New Roman" w:hAnsi="Times New Roman" w:eastAsia="仿宋" w:cs="Times New Roman"/>
                <w:b/>
                <w:bCs/>
                <w:szCs w:val="21"/>
              </w:rPr>
              <w:t>调入资金</w:t>
            </w:r>
          </w:p>
        </w:tc>
        <w:tc>
          <w:tcPr>
            <w:tcW w:w="1530"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60000</w:t>
            </w:r>
          </w:p>
        </w:tc>
        <w:tc>
          <w:tcPr>
            <w:tcW w:w="1095"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20000</w:t>
            </w:r>
          </w:p>
        </w:tc>
        <w:tc>
          <w:tcPr>
            <w:tcW w:w="1416"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bCs/>
                <w:color w:val="000000"/>
                <w:kern w:val="0"/>
                <w:szCs w:val="21"/>
              </w:rPr>
              <w:t>80000</w:t>
            </w:r>
          </w:p>
        </w:tc>
        <w:tc>
          <w:tcPr>
            <w:tcW w:w="2799" w:type="dxa"/>
            <w:vAlign w:val="center"/>
          </w:tcPr>
          <w:p>
            <w:pPr>
              <w:rPr>
                <w:rFonts w:hint="default" w:ascii="Times New Roman" w:hAnsi="Times New Roman" w:eastAsia="仿宋" w:cs="Times New Roman"/>
                <w:b/>
                <w:bCs/>
                <w:szCs w:val="21"/>
              </w:rPr>
            </w:pPr>
          </w:p>
        </w:tc>
        <w:tc>
          <w:tcPr>
            <w:tcW w:w="1575" w:type="dxa"/>
            <w:vAlign w:val="center"/>
          </w:tcPr>
          <w:p>
            <w:pPr>
              <w:jc w:val="right"/>
              <w:rPr>
                <w:rFonts w:hint="default" w:ascii="Times New Roman" w:hAnsi="Times New Roman" w:eastAsia="仿宋" w:cs="Times New Roman"/>
                <w:szCs w:val="21"/>
              </w:rPr>
            </w:pPr>
          </w:p>
        </w:tc>
        <w:tc>
          <w:tcPr>
            <w:tcW w:w="1200" w:type="dxa"/>
            <w:vAlign w:val="center"/>
          </w:tcPr>
          <w:p>
            <w:pPr>
              <w:jc w:val="right"/>
              <w:rPr>
                <w:rFonts w:hint="default" w:ascii="Times New Roman" w:hAnsi="Times New Roman" w:eastAsia="仿宋" w:cs="Times New Roman"/>
                <w:szCs w:val="21"/>
              </w:rPr>
            </w:pPr>
          </w:p>
        </w:tc>
        <w:tc>
          <w:tcPr>
            <w:tcW w:w="1514" w:type="dxa"/>
            <w:vAlign w:val="center"/>
          </w:tcPr>
          <w:p>
            <w:pPr>
              <w:jc w:val="right"/>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b/>
                <w:bCs/>
                <w:szCs w:val="21"/>
              </w:rPr>
            </w:pPr>
            <w:r>
              <w:rPr>
                <w:rFonts w:hint="default" w:ascii="Times New Roman" w:hAnsi="Times New Roman" w:eastAsia="仿宋" w:cs="Times New Roman"/>
                <w:b/>
                <w:bCs/>
                <w:szCs w:val="21"/>
              </w:rPr>
              <w:t>地方政府一般债务转贷收入</w:t>
            </w:r>
          </w:p>
        </w:tc>
        <w:tc>
          <w:tcPr>
            <w:tcW w:w="1530" w:type="dxa"/>
            <w:vAlign w:val="center"/>
          </w:tcPr>
          <w:p>
            <w:pPr>
              <w:jc w:val="right"/>
              <w:rPr>
                <w:rFonts w:hint="default" w:ascii="Times New Roman" w:hAnsi="Times New Roman" w:eastAsia="仿宋" w:cs="Times New Roman"/>
                <w:b/>
                <w:bCs/>
                <w:szCs w:val="21"/>
              </w:rPr>
            </w:pPr>
          </w:p>
        </w:tc>
        <w:tc>
          <w:tcPr>
            <w:tcW w:w="1095"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33600</w:t>
            </w:r>
          </w:p>
        </w:tc>
        <w:tc>
          <w:tcPr>
            <w:tcW w:w="1416"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bCs/>
                <w:color w:val="000000"/>
                <w:kern w:val="0"/>
                <w:szCs w:val="21"/>
              </w:rPr>
              <w:t>33600</w:t>
            </w:r>
          </w:p>
        </w:tc>
        <w:tc>
          <w:tcPr>
            <w:tcW w:w="2799" w:type="dxa"/>
            <w:vAlign w:val="center"/>
          </w:tcPr>
          <w:p>
            <w:pPr>
              <w:rPr>
                <w:rFonts w:hint="default" w:ascii="Times New Roman" w:hAnsi="Times New Roman" w:eastAsia="仿宋" w:cs="Times New Roman"/>
                <w:b/>
                <w:bCs/>
                <w:szCs w:val="21"/>
              </w:rPr>
            </w:pPr>
          </w:p>
        </w:tc>
        <w:tc>
          <w:tcPr>
            <w:tcW w:w="1575" w:type="dxa"/>
            <w:vAlign w:val="center"/>
          </w:tcPr>
          <w:p>
            <w:pPr>
              <w:jc w:val="right"/>
              <w:rPr>
                <w:rFonts w:hint="default" w:ascii="Times New Roman" w:hAnsi="Times New Roman" w:eastAsia="仿宋" w:cs="Times New Roman"/>
                <w:szCs w:val="21"/>
              </w:rPr>
            </w:pPr>
          </w:p>
        </w:tc>
        <w:tc>
          <w:tcPr>
            <w:tcW w:w="1200" w:type="dxa"/>
            <w:vAlign w:val="center"/>
          </w:tcPr>
          <w:p>
            <w:pPr>
              <w:jc w:val="right"/>
              <w:rPr>
                <w:rFonts w:hint="default" w:ascii="Times New Roman" w:hAnsi="Times New Roman" w:eastAsia="仿宋" w:cs="Times New Roman"/>
                <w:szCs w:val="21"/>
              </w:rPr>
            </w:pPr>
          </w:p>
        </w:tc>
        <w:tc>
          <w:tcPr>
            <w:tcW w:w="1514" w:type="dxa"/>
            <w:vAlign w:val="center"/>
          </w:tcPr>
          <w:p>
            <w:pPr>
              <w:jc w:val="right"/>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b/>
                <w:bCs/>
                <w:szCs w:val="21"/>
              </w:rPr>
            </w:pPr>
            <w:r>
              <w:rPr>
                <w:rFonts w:hint="default" w:ascii="Times New Roman" w:hAnsi="Times New Roman" w:eastAsia="仿宋" w:cs="Times New Roman"/>
                <w:b/>
                <w:bCs/>
                <w:szCs w:val="21"/>
              </w:rPr>
              <w:t>抗疫特别国债</w:t>
            </w:r>
          </w:p>
        </w:tc>
        <w:tc>
          <w:tcPr>
            <w:tcW w:w="1530" w:type="dxa"/>
            <w:vAlign w:val="center"/>
          </w:tcPr>
          <w:p>
            <w:pPr>
              <w:jc w:val="right"/>
              <w:rPr>
                <w:rFonts w:hint="default" w:ascii="Times New Roman" w:hAnsi="Times New Roman" w:eastAsia="仿宋" w:cs="Times New Roman"/>
                <w:b/>
                <w:bCs/>
                <w:szCs w:val="21"/>
              </w:rPr>
            </w:pPr>
          </w:p>
        </w:tc>
        <w:tc>
          <w:tcPr>
            <w:tcW w:w="1095"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2292</w:t>
            </w:r>
          </w:p>
        </w:tc>
        <w:tc>
          <w:tcPr>
            <w:tcW w:w="1416"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bCs/>
                <w:color w:val="000000"/>
                <w:kern w:val="0"/>
                <w:szCs w:val="21"/>
              </w:rPr>
              <w:t>2292</w:t>
            </w:r>
          </w:p>
        </w:tc>
        <w:tc>
          <w:tcPr>
            <w:tcW w:w="2799" w:type="dxa"/>
            <w:vAlign w:val="center"/>
          </w:tcPr>
          <w:p>
            <w:pPr>
              <w:rPr>
                <w:rFonts w:hint="default" w:ascii="Times New Roman" w:hAnsi="Times New Roman" w:eastAsia="仿宋" w:cs="Times New Roman"/>
                <w:b/>
                <w:bCs/>
                <w:szCs w:val="21"/>
              </w:rPr>
            </w:pPr>
          </w:p>
        </w:tc>
        <w:tc>
          <w:tcPr>
            <w:tcW w:w="1575" w:type="dxa"/>
            <w:vAlign w:val="center"/>
          </w:tcPr>
          <w:p>
            <w:pPr>
              <w:jc w:val="right"/>
              <w:rPr>
                <w:rFonts w:hint="default" w:ascii="Times New Roman" w:hAnsi="Times New Roman" w:eastAsia="仿宋" w:cs="Times New Roman"/>
                <w:szCs w:val="21"/>
              </w:rPr>
            </w:pPr>
          </w:p>
        </w:tc>
        <w:tc>
          <w:tcPr>
            <w:tcW w:w="1200" w:type="dxa"/>
            <w:vAlign w:val="center"/>
          </w:tcPr>
          <w:p>
            <w:pPr>
              <w:jc w:val="right"/>
              <w:rPr>
                <w:rFonts w:hint="default" w:ascii="Times New Roman" w:hAnsi="Times New Roman" w:eastAsia="仿宋" w:cs="Times New Roman"/>
                <w:szCs w:val="21"/>
              </w:rPr>
            </w:pPr>
          </w:p>
        </w:tc>
        <w:tc>
          <w:tcPr>
            <w:tcW w:w="1514" w:type="dxa"/>
            <w:vAlign w:val="center"/>
          </w:tcPr>
          <w:p>
            <w:pPr>
              <w:jc w:val="right"/>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b/>
                <w:bCs/>
                <w:szCs w:val="21"/>
              </w:rPr>
            </w:pPr>
            <w:r>
              <w:rPr>
                <w:rFonts w:hint="default" w:ascii="Times New Roman" w:hAnsi="Times New Roman" w:eastAsia="仿宋" w:cs="Times New Roman"/>
                <w:b/>
                <w:bCs/>
                <w:szCs w:val="21"/>
              </w:rPr>
              <w:t>动用预算稳定调节基金</w:t>
            </w:r>
          </w:p>
        </w:tc>
        <w:tc>
          <w:tcPr>
            <w:tcW w:w="1530"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20000</w:t>
            </w:r>
          </w:p>
        </w:tc>
        <w:tc>
          <w:tcPr>
            <w:tcW w:w="1095" w:type="dxa"/>
            <w:vAlign w:val="center"/>
          </w:tcPr>
          <w:p>
            <w:pPr>
              <w:jc w:val="right"/>
              <w:rPr>
                <w:rFonts w:hint="default" w:ascii="Times New Roman" w:hAnsi="Times New Roman" w:eastAsia="仿宋" w:cs="Times New Roman"/>
                <w:b/>
                <w:bCs/>
                <w:szCs w:val="21"/>
              </w:rPr>
            </w:pPr>
          </w:p>
        </w:tc>
        <w:tc>
          <w:tcPr>
            <w:tcW w:w="1416"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bCs/>
                <w:color w:val="000000"/>
                <w:kern w:val="0"/>
                <w:szCs w:val="21"/>
              </w:rPr>
              <w:t>20000</w:t>
            </w:r>
          </w:p>
        </w:tc>
        <w:tc>
          <w:tcPr>
            <w:tcW w:w="2799" w:type="dxa"/>
            <w:vAlign w:val="center"/>
          </w:tcPr>
          <w:p>
            <w:pPr>
              <w:rPr>
                <w:rFonts w:hint="default" w:ascii="Times New Roman" w:hAnsi="Times New Roman" w:eastAsia="仿宋" w:cs="Times New Roman"/>
                <w:b/>
                <w:bCs/>
                <w:szCs w:val="21"/>
              </w:rPr>
            </w:pPr>
          </w:p>
        </w:tc>
        <w:tc>
          <w:tcPr>
            <w:tcW w:w="1575" w:type="dxa"/>
            <w:vAlign w:val="center"/>
          </w:tcPr>
          <w:p>
            <w:pPr>
              <w:jc w:val="right"/>
              <w:rPr>
                <w:rFonts w:hint="default" w:ascii="Times New Roman" w:hAnsi="Times New Roman" w:eastAsia="仿宋" w:cs="Times New Roman"/>
                <w:szCs w:val="21"/>
              </w:rPr>
            </w:pPr>
          </w:p>
        </w:tc>
        <w:tc>
          <w:tcPr>
            <w:tcW w:w="1200" w:type="dxa"/>
            <w:vAlign w:val="center"/>
          </w:tcPr>
          <w:p>
            <w:pPr>
              <w:jc w:val="right"/>
              <w:rPr>
                <w:rFonts w:hint="default" w:ascii="Times New Roman" w:hAnsi="Times New Roman" w:eastAsia="仿宋" w:cs="Times New Roman"/>
                <w:szCs w:val="21"/>
              </w:rPr>
            </w:pPr>
          </w:p>
        </w:tc>
        <w:tc>
          <w:tcPr>
            <w:tcW w:w="1514" w:type="dxa"/>
            <w:vAlign w:val="center"/>
          </w:tcPr>
          <w:p>
            <w:pPr>
              <w:jc w:val="right"/>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045" w:type="dxa"/>
            <w:vAlign w:val="center"/>
          </w:tcPr>
          <w:p>
            <w:pPr>
              <w:rPr>
                <w:rFonts w:hint="default" w:ascii="Times New Roman" w:hAnsi="Times New Roman" w:eastAsia="仿宋" w:cs="Times New Roman"/>
                <w:b/>
                <w:bCs/>
                <w:szCs w:val="21"/>
              </w:rPr>
            </w:pPr>
            <w:r>
              <w:rPr>
                <w:rFonts w:hint="default" w:ascii="Times New Roman" w:hAnsi="Times New Roman" w:eastAsia="仿宋" w:cs="Times New Roman"/>
                <w:b/>
                <w:bCs/>
                <w:szCs w:val="21"/>
              </w:rPr>
              <w:t>一般公共预算收入总计</w:t>
            </w:r>
          </w:p>
        </w:tc>
        <w:tc>
          <w:tcPr>
            <w:tcW w:w="1530"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1584422</w:t>
            </w:r>
          </w:p>
        </w:tc>
        <w:tc>
          <w:tcPr>
            <w:tcW w:w="1095"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5503</w:t>
            </w:r>
          </w:p>
        </w:tc>
        <w:tc>
          <w:tcPr>
            <w:tcW w:w="1416"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1589925</w:t>
            </w:r>
          </w:p>
        </w:tc>
        <w:tc>
          <w:tcPr>
            <w:tcW w:w="2799" w:type="dxa"/>
            <w:vAlign w:val="center"/>
          </w:tcPr>
          <w:p>
            <w:pPr>
              <w:rPr>
                <w:rFonts w:hint="default" w:ascii="Times New Roman" w:hAnsi="Times New Roman" w:eastAsia="仿宋" w:cs="Times New Roman"/>
                <w:b/>
                <w:bCs/>
                <w:szCs w:val="21"/>
              </w:rPr>
            </w:pPr>
            <w:r>
              <w:rPr>
                <w:rFonts w:hint="default" w:ascii="Times New Roman" w:hAnsi="Times New Roman" w:eastAsia="仿宋" w:cs="Times New Roman"/>
                <w:b/>
                <w:bCs/>
                <w:szCs w:val="21"/>
              </w:rPr>
              <w:t>一般公共预算支出总计</w:t>
            </w:r>
          </w:p>
        </w:tc>
        <w:tc>
          <w:tcPr>
            <w:tcW w:w="1575"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1584422</w:t>
            </w:r>
          </w:p>
        </w:tc>
        <w:tc>
          <w:tcPr>
            <w:tcW w:w="1200"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5503</w:t>
            </w:r>
          </w:p>
        </w:tc>
        <w:tc>
          <w:tcPr>
            <w:tcW w:w="1514"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1589925</w:t>
            </w:r>
          </w:p>
        </w:tc>
      </w:tr>
    </w:tbl>
    <w:p>
      <w:pPr>
        <w:spacing w:line="240" w:lineRule="atLeast"/>
        <w:jc w:val="center"/>
        <w:rPr>
          <w:rFonts w:hint="default" w:ascii="Times New Roman" w:hAnsi="Times New Roman" w:eastAsia="黑体" w:cs="Times New Roman"/>
          <w:sz w:val="10"/>
          <w:szCs w:val="10"/>
        </w:rPr>
      </w:pPr>
    </w:p>
    <w:p>
      <w:pPr>
        <w:widowControl w:val="0"/>
        <w:wordWrap/>
        <w:adjustRightInd/>
        <w:snapToGrid/>
        <w:spacing w:before="0" w:after="0" w:line="480" w:lineRule="exact"/>
        <w:ind w:left="0" w:leftChars="0" w:right="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2020年金水区政府性基金预算调整方案（草案）</w:t>
      </w:r>
    </w:p>
    <w:p>
      <w:pPr>
        <w:widowControl w:val="0"/>
        <w:wordWrap/>
        <w:adjustRightInd/>
        <w:snapToGrid/>
        <w:spacing w:before="0" w:after="0" w:line="480" w:lineRule="exact"/>
        <w:ind w:left="0" w:leftChars="0" w:right="0" w:firstLine="0" w:firstLineChars="0"/>
        <w:jc w:val="right"/>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单位：万元</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1440"/>
        <w:gridCol w:w="1095"/>
        <w:gridCol w:w="1416"/>
        <w:gridCol w:w="2949"/>
        <w:gridCol w:w="1455"/>
        <w:gridCol w:w="1170"/>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7086" w:type="dxa"/>
            <w:gridSpan w:val="4"/>
            <w:vAlign w:val="center"/>
          </w:tcPr>
          <w:p>
            <w:pPr>
              <w:widowControl w:val="0"/>
              <w:wordWrap/>
              <w:adjustRightInd/>
              <w:snapToGrid/>
              <w:spacing w:before="0" w:after="0" w:line="480" w:lineRule="exact"/>
              <w:ind w:left="0" w:leftChars="0" w:right="0" w:firstLine="0" w:firstLineChars="0"/>
              <w:jc w:val="center"/>
              <w:textAlignment w:val="auto"/>
              <w:outlineLvl w:val="9"/>
              <w:rPr>
                <w:rFonts w:hint="default" w:ascii="Times New Roman" w:hAnsi="Times New Roman" w:eastAsia="黑体" w:cs="Times New Roman"/>
                <w:szCs w:val="21"/>
              </w:rPr>
            </w:pPr>
            <w:r>
              <w:rPr>
                <w:rFonts w:hint="default" w:ascii="Times New Roman" w:hAnsi="Times New Roman" w:eastAsia="黑体" w:cs="Times New Roman"/>
                <w:szCs w:val="21"/>
              </w:rPr>
              <w:t>收入</w:t>
            </w:r>
          </w:p>
        </w:tc>
        <w:tc>
          <w:tcPr>
            <w:tcW w:w="7088" w:type="dxa"/>
            <w:gridSpan w:val="4"/>
            <w:vAlign w:val="center"/>
          </w:tcPr>
          <w:p>
            <w:pPr>
              <w:widowControl w:val="0"/>
              <w:wordWrap/>
              <w:adjustRightInd/>
              <w:snapToGrid/>
              <w:spacing w:before="0" w:after="0" w:line="480" w:lineRule="exact"/>
              <w:ind w:left="0" w:leftChars="0" w:right="0" w:firstLine="0" w:firstLineChars="0"/>
              <w:jc w:val="center"/>
              <w:textAlignment w:val="auto"/>
              <w:outlineLvl w:val="9"/>
              <w:rPr>
                <w:rFonts w:hint="default" w:ascii="Times New Roman" w:hAnsi="Times New Roman" w:eastAsia="黑体" w:cs="Times New Roman"/>
                <w:szCs w:val="21"/>
              </w:rPr>
            </w:pPr>
            <w:r>
              <w:rPr>
                <w:rFonts w:hint="default" w:ascii="Times New Roman" w:hAnsi="Times New Roman" w:eastAsia="黑体" w:cs="Times New Roman"/>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135"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项目</w:t>
            </w:r>
          </w:p>
        </w:tc>
        <w:tc>
          <w:tcPr>
            <w:tcW w:w="1440"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年初预算数</w:t>
            </w:r>
          </w:p>
        </w:tc>
        <w:tc>
          <w:tcPr>
            <w:tcW w:w="1095"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调整数</w:t>
            </w:r>
          </w:p>
        </w:tc>
        <w:tc>
          <w:tcPr>
            <w:tcW w:w="1416"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调整预算数</w:t>
            </w:r>
          </w:p>
        </w:tc>
        <w:tc>
          <w:tcPr>
            <w:tcW w:w="2949"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项目</w:t>
            </w:r>
          </w:p>
        </w:tc>
        <w:tc>
          <w:tcPr>
            <w:tcW w:w="1455"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年初预算数</w:t>
            </w:r>
          </w:p>
        </w:tc>
        <w:tc>
          <w:tcPr>
            <w:tcW w:w="1170"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调整数</w:t>
            </w:r>
          </w:p>
        </w:tc>
        <w:tc>
          <w:tcPr>
            <w:tcW w:w="1514" w:type="dxa"/>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调整预算数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135"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污水处理费收入</w:t>
            </w:r>
          </w:p>
        </w:tc>
        <w:tc>
          <w:tcPr>
            <w:tcW w:w="144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13</w:t>
            </w:r>
          </w:p>
        </w:tc>
        <w:tc>
          <w:tcPr>
            <w:tcW w:w="1095" w:type="dxa"/>
            <w:vAlign w:val="center"/>
          </w:tcPr>
          <w:p>
            <w:pPr>
              <w:jc w:val="right"/>
              <w:rPr>
                <w:rFonts w:hint="default" w:ascii="Times New Roman" w:hAnsi="Times New Roman" w:eastAsia="仿宋" w:cs="Times New Roman"/>
                <w:szCs w:val="21"/>
              </w:rPr>
            </w:pPr>
          </w:p>
        </w:tc>
        <w:tc>
          <w:tcPr>
            <w:tcW w:w="1416"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13</w:t>
            </w:r>
          </w:p>
        </w:tc>
        <w:tc>
          <w:tcPr>
            <w:tcW w:w="294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文化旅游体育与传媒支出</w:t>
            </w:r>
          </w:p>
        </w:tc>
        <w:tc>
          <w:tcPr>
            <w:tcW w:w="145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147</w:t>
            </w:r>
          </w:p>
        </w:tc>
        <w:tc>
          <w:tcPr>
            <w:tcW w:w="1170" w:type="dxa"/>
            <w:vAlign w:val="center"/>
          </w:tcPr>
          <w:p>
            <w:pPr>
              <w:jc w:val="right"/>
              <w:rPr>
                <w:rFonts w:hint="default" w:ascii="Times New Roman" w:hAnsi="Times New Roman" w:eastAsia="仿宋" w:cs="Times New Roman"/>
                <w:szCs w:val="21"/>
              </w:rPr>
            </w:pP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135" w:type="dxa"/>
            <w:vAlign w:val="center"/>
          </w:tcPr>
          <w:p>
            <w:pPr>
              <w:rPr>
                <w:rFonts w:hint="default" w:ascii="Times New Roman" w:hAnsi="Times New Roman" w:eastAsia="仿宋" w:cs="Times New Roman"/>
                <w:szCs w:val="21"/>
              </w:rPr>
            </w:pPr>
          </w:p>
        </w:tc>
        <w:tc>
          <w:tcPr>
            <w:tcW w:w="1440" w:type="dxa"/>
            <w:vAlign w:val="center"/>
          </w:tcPr>
          <w:p>
            <w:pPr>
              <w:jc w:val="right"/>
              <w:rPr>
                <w:rFonts w:hint="default" w:ascii="Times New Roman" w:hAnsi="Times New Roman" w:eastAsia="仿宋" w:cs="Times New Roman"/>
                <w:szCs w:val="21"/>
              </w:rPr>
            </w:pPr>
          </w:p>
        </w:tc>
        <w:tc>
          <w:tcPr>
            <w:tcW w:w="1095" w:type="dxa"/>
            <w:vAlign w:val="center"/>
          </w:tcPr>
          <w:p>
            <w:pPr>
              <w:jc w:val="right"/>
              <w:rPr>
                <w:rFonts w:hint="default" w:ascii="Times New Roman" w:hAnsi="Times New Roman" w:eastAsia="仿宋" w:cs="Times New Roman"/>
                <w:szCs w:val="21"/>
              </w:rPr>
            </w:pPr>
          </w:p>
        </w:tc>
        <w:tc>
          <w:tcPr>
            <w:tcW w:w="1416" w:type="dxa"/>
            <w:vAlign w:val="center"/>
          </w:tcPr>
          <w:p>
            <w:pPr>
              <w:jc w:val="right"/>
              <w:rPr>
                <w:rFonts w:hint="default" w:ascii="Times New Roman" w:hAnsi="Times New Roman" w:eastAsia="仿宋" w:cs="Times New Roman"/>
                <w:szCs w:val="21"/>
              </w:rPr>
            </w:pPr>
          </w:p>
        </w:tc>
        <w:tc>
          <w:tcPr>
            <w:tcW w:w="294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城乡社区支出</w:t>
            </w:r>
          </w:p>
        </w:tc>
        <w:tc>
          <w:tcPr>
            <w:tcW w:w="145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22846</w:t>
            </w:r>
          </w:p>
        </w:tc>
        <w:tc>
          <w:tcPr>
            <w:tcW w:w="117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-20000</w:t>
            </w: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2846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135" w:type="dxa"/>
            <w:vAlign w:val="center"/>
          </w:tcPr>
          <w:p>
            <w:pPr>
              <w:rPr>
                <w:rFonts w:hint="default" w:ascii="Times New Roman" w:hAnsi="Times New Roman" w:eastAsia="仿宋" w:cs="Times New Roman"/>
                <w:szCs w:val="21"/>
              </w:rPr>
            </w:pPr>
          </w:p>
        </w:tc>
        <w:tc>
          <w:tcPr>
            <w:tcW w:w="1440" w:type="dxa"/>
            <w:vAlign w:val="center"/>
          </w:tcPr>
          <w:p>
            <w:pPr>
              <w:jc w:val="right"/>
              <w:rPr>
                <w:rFonts w:hint="default" w:ascii="Times New Roman" w:hAnsi="Times New Roman" w:eastAsia="仿宋" w:cs="Times New Roman"/>
                <w:szCs w:val="21"/>
              </w:rPr>
            </w:pPr>
          </w:p>
        </w:tc>
        <w:tc>
          <w:tcPr>
            <w:tcW w:w="1095" w:type="dxa"/>
            <w:vAlign w:val="center"/>
          </w:tcPr>
          <w:p>
            <w:pPr>
              <w:jc w:val="right"/>
              <w:rPr>
                <w:rFonts w:hint="default" w:ascii="Times New Roman" w:hAnsi="Times New Roman" w:eastAsia="仿宋" w:cs="Times New Roman"/>
                <w:szCs w:val="21"/>
              </w:rPr>
            </w:pPr>
          </w:p>
        </w:tc>
        <w:tc>
          <w:tcPr>
            <w:tcW w:w="1416" w:type="dxa"/>
            <w:vAlign w:val="center"/>
          </w:tcPr>
          <w:p>
            <w:pPr>
              <w:jc w:val="right"/>
              <w:rPr>
                <w:rFonts w:hint="default" w:ascii="Times New Roman" w:hAnsi="Times New Roman" w:eastAsia="仿宋" w:cs="Times New Roman"/>
                <w:szCs w:val="21"/>
              </w:rPr>
            </w:pPr>
          </w:p>
        </w:tc>
        <w:tc>
          <w:tcPr>
            <w:tcW w:w="294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其他支出</w:t>
            </w:r>
          </w:p>
        </w:tc>
        <w:tc>
          <w:tcPr>
            <w:tcW w:w="1455"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1335</w:t>
            </w:r>
          </w:p>
        </w:tc>
        <w:tc>
          <w:tcPr>
            <w:tcW w:w="1170" w:type="dxa"/>
            <w:vAlign w:val="center"/>
          </w:tcPr>
          <w:p>
            <w:pPr>
              <w:jc w:val="right"/>
              <w:rPr>
                <w:rFonts w:hint="default" w:ascii="Times New Roman" w:hAnsi="Times New Roman" w:eastAsia="仿宋" w:cs="Times New Roman"/>
                <w:szCs w:val="21"/>
              </w:rPr>
            </w:pP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135" w:type="dxa"/>
            <w:vAlign w:val="center"/>
          </w:tcPr>
          <w:p>
            <w:pPr>
              <w:rPr>
                <w:rFonts w:hint="default" w:ascii="Times New Roman" w:hAnsi="Times New Roman" w:eastAsia="仿宋" w:cs="Times New Roman"/>
                <w:b/>
                <w:bCs/>
                <w:szCs w:val="21"/>
              </w:rPr>
            </w:pPr>
          </w:p>
        </w:tc>
        <w:tc>
          <w:tcPr>
            <w:tcW w:w="1440" w:type="dxa"/>
            <w:vAlign w:val="center"/>
          </w:tcPr>
          <w:p>
            <w:pPr>
              <w:jc w:val="right"/>
              <w:rPr>
                <w:rFonts w:hint="default" w:ascii="Times New Roman" w:hAnsi="Times New Roman" w:eastAsia="仿宋" w:cs="Times New Roman"/>
                <w:b/>
                <w:bCs/>
                <w:szCs w:val="21"/>
              </w:rPr>
            </w:pPr>
          </w:p>
        </w:tc>
        <w:tc>
          <w:tcPr>
            <w:tcW w:w="1095" w:type="dxa"/>
            <w:vAlign w:val="center"/>
          </w:tcPr>
          <w:p>
            <w:pPr>
              <w:jc w:val="right"/>
              <w:rPr>
                <w:rFonts w:hint="default" w:ascii="Times New Roman" w:hAnsi="Times New Roman" w:eastAsia="仿宋" w:cs="Times New Roman"/>
                <w:b/>
                <w:bCs/>
                <w:szCs w:val="21"/>
              </w:rPr>
            </w:pPr>
          </w:p>
        </w:tc>
        <w:tc>
          <w:tcPr>
            <w:tcW w:w="1416" w:type="dxa"/>
            <w:vAlign w:val="center"/>
          </w:tcPr>
          <w:p>
            <w:pPr>
              <w:jc w:val="right"/>
              <w:rPr>
                <w:rFonts w:hint="default" w:ascii="Times New Roman" w:hAnsi="Times New Roman" w:eastAsia="仿宋" w:cs="Times New Roman"/>
                <w:b/>
                <w:bCs/>
                <w:szCs w:val="21"/>
              </w:rPr>
            </w:pPr>
          </w:p>
        </w:tc>
        <w:tc>
          <w:tcPr>
            <w:tcW w:w="294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专项债券收入安排的支出</w:t>
            </w:r>
          </w:p>
        </w:tc>
        <w:tc>
          <w:tcPr>
            <w:tcW w:w="1455" w:type="dxa"/>
            <w:vAlign w:val="center"/>
          </w:tcPr>
          <w:p>
            <w:pPr>
              <w:jc w:val="right"/>
              <w:rPr>
                <w:rFonts w:hint="default" w:ascii="Times New Roman" w:hAnsi="Times New Roman" w:eastAsia="仿宋" w:cs="Times New Roman"/>
                <w:szCs w:val="21"/>
              </w:rPr>
            </w:pPr>
          </w:p>
        </w:tc>
        <w:tc>
          <w:tcPr>
            <w:tcW w:w="117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42500</w:t>
            </w: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42500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135" w:type="dxa"/>
            <w:vAlign w:val="center"/>
          </w:tcPr>
          <w:p>
            <w:pPr>
              <w:rPr>
                <w:rFonts w:hint="default" w:ascii="Times New Roman" w:hAnsi="Times New Roman" w:eastAsia="仿宋" w:cs="Times New Roman"/>
                <w:b/>
                <w:bCs/>
                <w:szCs w:val="21"/>
              </w:rPr>
            </w:pPr>
          </w:p>
        </w:tc>
        <w:tc>
          <w:tcPr>
            <w:tcW w:w="1440" w:type="dxa"/>
            <w:vAlign w:val="center"/>
          </w:tcPr>
          <w:p>
            <w:pPr>
              <w:jc w:val="right"/>
              <w:rPr>
                <w:rFonts w:hint="default" w:ascii="Times New Roman" w:hAnsi="Times New Roman" w:eastAsia="仿宋" w:cs="Times New Roman"/>
                <w:b/>
                <w:bCs/>
                <w:szCs w:val="21"/>
              </w:rPr>
            </w:pPr>
          </w:p>
        </w:tc>
        <w:tc>
          <w:tcPr>
            <w:tcW w:w="1095" w:type="dxa"/>
            <w:vAlign w:val="center"/>
          </w:tcPr>
          <w:p>
            <w:pPr>
              <w:jc w:val="right"/>
              <w:rPr>
                <w:rFonts w:hint="default" w:ascii="Times New Roman" w:hAnsi="Times New Roman" w:eastAsia="仿宋" w:cs="Times New Roman"/>
                <w:b/>
                <w:bCs/>
                <w:szCs w:val="21"/>
              </w:rPr>
            </w:pPr>
          </w:p>
        </w:tc>
        <w:tc>
          <w:tcPr>
            <w:tcW w:w="1416" w:type="dxa"/>
            <w:vAlign w:val="center"/>
          </w:tcPr>
          <w:p>
            <w:pPr>
              <w:jc w:val="right"/>
              <w:rPr>
                <w:rFonts w:hint="default" w:ascii="Times New Roman" w:hAnsi="Times New Roman" w:eastAsia="仿宋" w:cs="Times New Roman"/>
                <w:b/>
                <w:bCs/>
                <w:szCs w:val="21"/>
              </w:rPr>
            </w:pPr>
          </w:p>
        </w:tc>
        <w:tc>
          <w:tcPr>
            <w:tcW w:w="294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抗疫特别国债安排的支出</w:t>
            </w:r>
          </w:p>
        </w:tc>
        <w:tc>
          <w:tcPr>
            <w:tcW w:w="1455" w:type="dxa"/>
            <w:vAlign w:val="center"/>
          </w:tcPr>
          <w:p>
            <w:pPr>
              <w:jc w:val="right"/>
              <w:rPr>
                <w:rFonts w:hint="default" w:ascii="Times New Roman" w:hAnsi="Times New Roman" w:eastAsia="仿宋" w:cs="Times New Roman"/>
                <w:szCs w:val="21"/>
              </w:rPr>
            </w:pPr>
          </w:p>
        </w:tc>
        <w:tc>
          <w:tcPr>
            <w:tcW w:w="1170"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12320</w:t>
            </w: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color w:val="000000"/>
                <w:kern w:val="0"/>
                <w:szCs w:val="21"/>
              </w:rPr>
              <w:t>12320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135" w:type="dxa"/>
            <w:vAlign w:val="center"/>
          </w:tcPr>
          <w:p>
            <w:pPr>
              <w:rPr>
                <w:rFonts w:hint="default" w:ascii="Times New Roman" w:hAnsi="Times New Roman" w:eastAsia="仿宋" w:cs="Times New Roman"/>
                <w:b/>
                <w:bCs/>
                <w:szCs w:val="21"/>
              </w:rPr>
            </w:pPr>
            <w:r>
              <w:rPr>
                <w:rFonts w:hint="default" w:ascii="Times New Roman" w:hAnsi="Times New Roman" w:eastAsia="仿宋" w:cs="Times New Roman"/>
                <w:b/>
                <w:bCs/>
                <w:szCs w:val="21"/>
              </w:rPr>
              <w:t>政府性基金预算收入合计</w:t>
            </w:r>
          </w:p>
        </w:tc>
        <w:tc>
          <w:tcPr>
            <w:tcW w:w="1440"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13</w:t>
            </w:r>
          </w:p>
        </w:tc>
        <w:tc>
          <w:tcPr>
            <w:tcW w:w="1095"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0</w:t>
            </w:r>
          </w:p>
        </w:tc>
        <w:tc>
          <w:tcPr>
            <w:tcW w:w="1416"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13</w:t>
            </w:r>
          </w:p>
        </w:tc>
        <w:tc>
          <w:tcPr>
            <w:tcW w:w="2949"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b/>
                <w:bCs/>
                <w:szCs w:val="21"/>
              </w:rPr>
              <w:t>政府性基金预算支出合计</w:t>
            </w:r>
          </w:p>
        </w:tc>
        <w:tc>
          <w:tcPr>
            <w:tcW w:w="1455"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24328</w:t>
            </w:r>
          </w:p>
        </w:tc>
        <w:tc>
          <w:tcPr>
            <w:tcW w:w="1170"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34820</w:t>
            </w:r>
          </w:p>
        </w:tc>
        <w:tc>
          <w:tcPr>
            <w:tcW w:w="1514"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59148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135" w:type="dxa"/>
            <w:vAlign w:val="center"/>
          </w:tcPr>
          <w:p>
            <w:pPr>
              <w:rPr>
                <w:rFonts w:hint="default" w:ascii="Times New Roman" w:hAnsi="Times New Roman" w:eastAsia="仿宋" w:cs="Times New Roman"/>
                <w:b/>
                <w:bCs/>
                <w:szCs w:val="21"/>
              </w:rPr>
            </w:pPr>
            <w:r>
              <w:rPr>
                <w:rFonts w:hint="default" w:ascii="Times New Roman" w:hAnsi="Times New Roman" w:eastAsia="仿宋" w:cs="Times New Roman"/>
                <w:b/>
                <w:bCs/>
                <w:szCs w:val="21"/>
              </w:rPr>
              <w:t>上级补助收入</w:t>
            </w:r>
          </w:p>
        </w:tc>
        <w:tc>
          <w:tcPr>
            <w:tcW w:w="1440" w:type="dxa"/>
            <w:vAlign w:val="center"/>
          </w:tcPr>
          <w:p>
            <w:pPr>
              <w:jc w:val="right"/>
              <w:rPr>
                <w:rFonts w:hint="default" w:ascii="Times New Roman" w:hAnsi="Times New Roman" w:eastAsia="仿宋" w:cs="Times New Roman"/>
                <w:szCs w:val="21"/>
              </w:rPr>
            </w:pPr>
          </w:p>
        </w:tc>
        <w:tc>
          <w:tcPr>
            <w:tcW w:w="1095" w:type="dxa"/>
            <w:vAlign w:val="center"/>
          </w:tcPr>
          <w:p>
            <w:pPr>
              <w:jc w:val="right"/>
              <w:rPr>
                <w:rFonts w:hint="default" w:ascii="Times New Roman" w:hAnsi="Times New Roman" w:eastAsia="仿宋" w:cs="Times New Roman"/>
                <w:szCs w:val="21"/>
              </w:rPr>
            </w:pPr>
          </w:p>
        </w:tc>
        <w:tc>
          <w:tcPr>
            <w:tcW w:w="1416"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bCs/>
                <w:color w:val="000000"/>
                <w:kern w:val="0"/>
                <w:szCs w:val="21"/>
              </w:rPr>
              <w:t>0</w:t>
            </w:r>
          </w:p>
        </w:tc>
        <w:tc>
          <w:tcPr>
            <w:tcW w:w="2949" w:type="dxa"/>
            <w:vAlign w:val="center"/>
          </w:tcPr>
          <w:p>
            <w:pPr>
              <w:rPr>
                <w:rFonts w:hint="default" w:ascii="Times New Roman" w:hAnsi="Times New Roman" w:eastAsia="仿宋" w:cs="Times New Roman"/>
                <w:b/>
                <w:bCs/>
                <w:szCs w:val="21"/>
              </w:rPr>
            </w:pPr>
            <w:r>
              <w:rPr>
                <w:rFonts w:hint="default" w:ascii="Times New Roman" w:hAnsi="Times New Roman" w:eastAsia="仿宋" w:cs="Times New Roman"/>
                <w:b/>
                <w:bCs/>
                <w:szCs w:val="21"/>
              </w:rPr>
              <w:t>调出资金</w:t>
            </w:r>
          </w:p>
        </w:tc>
        <w:tc>
          <w:tcPr>
            <w:tcW w:w="1455"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60000</w:t>
            </w:r>
          </w:p>
        </w:tc>
        <w:tc>
          <w:tcPr>
            <w:tcW w:w="1170"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20000</w:t>
            </w:r>
          </w:p>
        </w:tc>
        <w:tc>
          <w:tcPr>
            <w:tcW w:w="1514"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135" w:type="dxa"/>
            <w:vAlign w:val="center"/>
          </w:tcPr>
          <w:p>
            <w:pPr>
              <w:rPr>
                <w:rFonts w:hint="default" w:ascii="Times New Roman" w:hAnsi="Times New Roman" w:eastAsia="仿宋" w:cs="Times New Roman"/>
                <w:b/>
                <w:bCs/>
                <w:szCs w:val="21"/>
              </w:rPr>
            </w:pPr>
            <w:r>
              <w:rPr>
                <w:rFonts w:hint="default" w:ascii="Times New Roman" w:hAnsi="Times New Roman" w:eastAsia="仿宋" w:cs="Times New Roman"/>
                <w:b/>
                <w:bCs/>
                <w:szCs w:val="21"/>
              </w:rPr>
              <w:t>上年结转收入</w:t>
            </w:r>
          </w:p>
        </w:tc>
        <w:tc>
          <w:tcPr>
            <w:tcW w:w="1440"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84315</w:t>
            </w:r>
          </w:p>
        </w:tc>
        <w:tc>
          <w:tcPr>
            <w:tcW w:w="1095" w:type="dxa"/>
            <w:vAlign w:val="center"/>
          </w:tcPr>
          <w:p>
            <w:pPr>
              <w:jc w:val="right"/>
              <w:rPr>
                <w:rFonts w:hint="default" w:ascii="Times New Roman" w:hAnsi="Times New Roman" w:eastAsia="仿宋" w:cs="Times New Roman"/>
                <w:b/>
                <w:bCs/>
                <w:szCs w:val="21"/>
              </w:rPr>
            </w:pPr>
          </w:p>
        </w:tc>
        <w:tc>
          <w:tcPr>
            <w:tcW w:w="1416"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bCs/>
                <w:color w:val="000000"/>
                <w:kern w:val="0"/>
                <w:szCs w:val="21"/>
              </w:rPr>
              <w:t>84315</w:t>
            </w:r>
          </w:p>
        </w:tc>
        <w:tc>
          <w:tcPr>
            <w:tcW w:w="2949" w:type="dxa"/>
            <w:vAlign w:val="center"/>
          </w:tcPr>
          <w:p>
            <w:pPr>
              <w:rPr>
                <w:rFonts w:hint="default" w:ascii="Times New Roman" w:hAnsi="Times New Roman" w:eastAsia="仿宋" w:cs="Times New Roman"/>
                <w:szCs w:val="21"/>
              </w:rPr>
            </w:pPr>
          </w:p>
        </w:tc>
        <w:tc>
          <w:tcPr>
            <w:tcW w:w="1455" w:type="dxa"/>
            <w:vAlign w:val="center"/>
          </w:tcPr>
          <w:p>
            <w:pPr>
              <w:jc w:val="right"/>
              <w:rPr>
                <w:rFonts w:hint="default" w:ascii="Times New Roman" w:hAnsi="Times New Roman" w:eastAsia="仿宋" w:cs="Times New Roman"/>
                <w:szCs w:val="21"/>
              </w:rPr>
            </w:pPr>
          </w:p>
        </w:tc>
        <w:tc>
          <w:tcPr>
            <w:tcW w:w="1170" w:type="dxa"/>
            <w:vAlign w:val="center"/>
          </w:tcPr>
          <w:p>
            <w:pPr>
              <w:jc w:val="right"/>
              <w:rPr>
                <w:rFonts w:hint="default" w:ascii="Times New Roman" w:hAnsi="Times New Roman" w:eastAsia="仿宋" w:cs="Times New Roman"/>
                <w:szCs w:val="21"/>
              </w:rPr>
            </w:pP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b/>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135" w:type="dxa"/>
            <w:vAlign w:val="center"/>
          </w:tcPr>
          <w:p>
            <w:pPr>
              <w:rPr>
                <w:rFonts w:hint="default" w:ascii="Times New Roman" w:hAnsi="Times New Roman" w:eastAsia="仿宋" w:cs="Times New Roman"/>
                <w:b/>
                <w:bCs/>
                <w:szCs w:val="21"/>
              </w:rPr>
            </w:pPr>
            <w:r>
              <w:rPr>
                <w:rFonts w:hint="default" w:ascii="Times New Roman" w:hAnsi="Times New Roman" w:eastAsia="仿宋" w:cs="Times New Roman"/>
                <w:b/>
                <w:bCs/>
                <w:szCs w:val="21"/>
              </w:rPr>
              <w:t>地方政府专项债务转贷收入</w:t>
            </w:r>
          </w:p>
        </w:tc>
        <w:tc>
          <w:tcPr>
            <w:tcW w:w="1440" w:type="dxa"/>
            <w:vAlign w:val="center"/>
          </w:tcPr>
          <w:p>
            <w:pPr>
              <w:jc w:val="right"/>
              <w:rPr>
                <w:rFonts w:hint="default" w:ascii="Times New Roman" w:hAnsi="Times New Roman" w:eastAsia="仿宋" w:cs="Times New Roman"/>
                <w:b/>
                <w:bCs/>
                <w:szCs w:val="21"/>
              </w:rPr>
            </w:pPr>
          </w:p>
        </w:tc>
        <w:tc>
          <w:tcPr>
            <w:tcW w:w="1095"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42500</w:t>
            </w:r>
          </w:p>
        </w:tc>
        <w:tc>
          <w:tcPr>
            <w:tcW w:w="1416"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bCs/>
                <w:color w:val="000000"/>
                <w:kern w:val="0"/>
                <w:szCs w:val="21"/>
              </w:rPr>
              <w:t>42500</w:t>
            </w:r>
          </w:p>
        </w:tc>
        <w:tc>
          <w:tcPr>
            <w:tcW w:w="2949" w:type="dxa"/>
            <w:vAlign w:val="center"/>
          </w:tcPr>
          <w:p>
            <w:pPr>
              <w:rPr>
                <w:rFonts w:hint="default" w:ascii="Times New Roman" w:hAnsi="Times New Roman" w:eastAsia="仿宋" w:cs="Times New Roman"/>
                <w:szCs w:val="21"/>
              </w:rPr>
            </w:pPr>
          </w:p>
        </w:tc>
        <w:tc>
          <w:tcPr>
            <w:tcW w:w="1455" w:type="dxa"/>
            <w:vAlign w:val="center"/>
          </w:tcPr>
          <w:p>
            <w:pPr>
              <w:jc w:val="right"/>
              <w:rPr>
                <w:rFonts w:hint="default" w:ascii="Times New Roman" w:hAnsi="Times New Roman" w:eastAsia="仿宋" w:cs="Times New Roman"/>
                <w:szCs w:val="21"/>
              </w:rPr>
            </w:pPr>
          </w:p>
        </w:tc>
        <w:tc>
          <w:tcPr>
            <w:tcW w:w="1170" w:type="dxa"/>
            <w:vAlign w:val="center"/>
          </w:tcPr>
          <w:p>
            <w:pPr>
              <w:jc w:val="right"/>
              <w:rPr>
                <w:rFonts w:hint="default" w:ascii="Times New Roman" w:hAnsi="Times New Roman" w:eastAsia="仿宋" w:cs="Times New Roman"/>
                <w:szCs w:val="21"/>
              </w:rPr>
            </w:pPr>
          </w:p>
        </w:tc>
        <w:tc>
          <w:tcPr>
            <w:tcW w:w="1514" w:type="dxa"/>
            <w:vAlign w:val="center"/>
          </w:tcPr>
          <w:p>
            <w:pPr>
              <w:widowControl/>
              <w:jc w:val="right"/>
              <w:textAlignment w:val="center"/>
              <w:rPr>
                <w:rFonts w:hint="default" w:ascii="Times New Roman" w:hAnsi="Times New Roman" w:eastAsia="仿宋" w:cs="Times New Roman"/>
                <w:szCs w:val="21"/>
              </w:rPr>
            </w:pPr>
            <w:r>
              <w:rPr>
                <w:rFonts w:hint="default" w:ascii="Times New Roman" w:hAnsi="Times New Roman" w:cs="Times New Roman"/>
                <w:b/>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135" w:type="dxa"/>
            <w:vAlign w:val="center"/>
          </w:tcPr>
          <w:p>
            <w:pPr>
              <w:rPr>
                <w:rFonts w:hint="default" w:ascii="Times New Roman" w:hAnsi="Times New Roman" w:eastAsia="仿宋" w:cs="Times New Roman"/>
                <w:b/>
                <w:bCs/>
                <w:szCs w:val="21"/>
              </w:rPr>
            </w:pPr>
            <w:r>
              <w:rPr>
                <w:rFonts w:hint="default" w:ascii="Times New Roman" w:hAnsi="Times New Roman" w:eastAsia="仿宋" w:cs="Times New Roman"/>
                <w:b/>
                <w:bCs/>
                <w:szCs w:val="21"/>
              </w:rPr>
              <w:t>抗疫特别国债</w:t>
            </w:r>
          </w:p>
        </w:tc>
        <w:tc>
          <w:tcPr>
            <w:tcW w:w="1440" w:type="dxa"/>
            <w:vAlign w:val="center"/>
          </w:tcPr>
          <w:p>
            <w:pPr>
              <w:jc w:val="right"/>
              <w:rPr>
                <w:rFonts w:hint="default" w:ascii="Times New Roman" w:hAnsi="Times New Roman" w:eastAsia="仿宋" w:cs="Times New Roman"/>
                <w:b/>
                <w:bCs/>
                <w:szCs w:val="21"/>
              </w:rPr>
            </w:pPr>
          </w:p>
        </w:tc>
        <w:tc>
          <w:tcPr>
            <w:tcW w:w="1095"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12320</w:t>
            </w:r>
          </w:p>
        </w:tc>
        <w:tc>
          <w:tcPr>
            <w:tcW w:w="1416"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bCs/>
                <w:color w:val="000000"/>
                <w:kern w:val="0"/>
                <w:szCs w:val="21"/>
              </w:rPr>
              <w:t>12320</w:t>
            </w:r>
          </w:p>
        </w:tc>
        <w:tc>
          <w:tcPr>
            <w:tcW w:w="2949" w:type="dxa"/>
            <w:vAlign w:val="center"/>
          </w:tcPr>
          <w:p>
            <w:pPr>
              <w:rPr>
                <w:rFonts w:hint="default" w:ascii="Times New Roman" w:hAnsi="Times New Roman" w:eastAsia="仿宋" w:cs="Times New Roman"/>
                <w:b/>
                <w:bCs/>
                <w:szCs w:val="21"/>
              </w:rPr>
            </w:pPr>
          </w:p>
        </w:tc>
        <w:tc>
          <w:tcPr>
            <w:tcW w:w="1455" w:type="dxa"/>
            <w:vAlign w:val="center"/>
          </w:tcPr>
          <w:p>
            <w:pPr>
              <w:jc w:val="right"/>
              <w:rPr>
                <w:rFonts w:hint="default" w:ascii="Times New Roman" w:hAnsi="Times New Roman" w:eastAsia="仿宋" w:cs="Times New Roman"/>
                <w:b/>
                <w:bCs/>
                <w:szCs w:val="21"/>
              </w:rPr>
            </w:pPr>
          </w:p>
        </w:tc>
        <w:tc>
          <w:tcPr>
            <w:tcW w:w="1170" w:type="dxa"/>
            <w:vAlign w:val="center"/>
          </w:tcPr>
          <w:p>
            <w:pPr>
              <w:jc w:val="right"/>
              <w:rPr>
                <w:rFonts w:hint="default" w:ascii="Times New Roman" w:hAnsi="Times New Roman" w:eastAsia="仿宋" w:cs="Times New Roman"/>
                <w:b/>
                <w:bCs/>
                <w:szCs w:val="21"/>
              </w:rPr>
            </w:pPr>
          </w:p>
        </w:tc>
        <w:tc>
          <w:tcPr>
            <w:tcW w:w="1514"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3135" w:type="dxa"/>
            <w:vAlign w:val="center"/>
          </w:tcPr>
          <w:p>
            <w:pPr>
              <w:rPr>
                <w:rFonts w:hint="default" w:ascii="Times New Roman" w:hAnsi="Times New Roman" w:eastAsia="仿宋" w:cs="Times New Roman"/>
                <w:szCs w:val="21"/>
              </w:rPr>
            </w:pPr>
            <w:r>
              <w:rPr>
                <w:rFonts w:hint="default" w:ascii="Times New Roman" w:hAnsi="Times New Roman" w:eastAsia="仿宋" w:cs="Times New Roman"/>
                <w:b/>
                <w:bCs/>
                <w:szCs w:val="21"/>
              </w:rPr>
              <w:t>政府性基金预算收入总计</w:t>
            </w:r>
          </w:p>
        </w:tc>
        <w:tc>
          <w:tcPr>
            <w:tcW w:w="1440"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84328</w:t>
            </w:r>
          </w:p>
        </w:tc>
        <w:tc>
          <w:tcPr>
            <w:tcW w:w="1095"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54820</w:t>
            </w:r>
          </w:p>
        </w:tc>
        <w:tc>
          <w:tcPr>
            <w:tcW w:w="1416"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bCs/>
                <w:color w:val="000000"/>
                <w:kern w:val="0"/>
                <w:szCs w:val="21"/>
              </w:rPr>
              <w:t>139148</w:t>
            </w:r>
          </w:p>
        </w:tc>
        <w:tc>
          <w:tcPr>
            <w:tcW w:w="2949" w:type="dxa"/>
            <w:vAlign w:val="center"/>
          </w:tcPr>
          <w:p>
            <w:pPr>
              <w:rPr>
                <w:rFonts w:hint="default" w:ascii="Times New Roman" w:hAnsi="Times New Roman" w:eastAsia="仿宋" w:cs="Times New Roman"/>
                <w:b/>
                <w:bCs/>
                <w:szCs w:val="21"/>
              </w:rPr>
            </w:pPr>
            <w:r>
              <w:rPr>
                <w:rFonts w:hint="default" w:ascii="Times New Roman" w:hAnsi="Times New Roman" w:eastAsia="仿宋" w:cs="Times New Roman"/>
                <w:b/>
                <w:bCs/>
                <w:szCs w:val="21"/>
              </w:rPr>
              <w:t>政府性基金预算支出总计</w:t>
            </w:r>
          </w:p>
        </w:tc>
        <w:tc>
          <w:tcPr>
            <w:tcW w:w="1455"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84328</w:t>
            </w:r>
          </w:p>
        </w:tc>
        <w:tc>
          <w:tcPr>
            <w:tcW w:w="1170"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54820</w:t>
            </w:r>
          </w:p>
        </w:tc>
        <w:tc>
          <w:tcPr>
            <w:tcW w:w="1514" w:type="dxa"/>
            <w:vAlign w:val="center"/>
          </w:tcPr>
          <w:p>
            <w:pPr>
              <w:widowControl/>
              <w:jc w:val="right"/>
              <w:textAlignment w:val="center"/>
              <w:rPr>
                <w:rFonts w:hint="default" w:ascii="Times New Roman" w:hAnsi="Times New Roman" w:eastAsia="仿宋" w:cs="Times New Roman"/>
                <w:b/>
                <w:bCs/>
                <w:szCs w:val="21"/>
              </w:rPr>
            </w:pPr>
            <w:r>
              <w:rPr>
                <w:rFonts w:hint="default" w:ascii="Times New Roman" w:hAnsi="Times New Roman" w:cs="Times New Roman"/>
                <w:b/>
                <w:color w:val="000000"/>
                <w:kern w:val="0"/>
                <w:szCs w:val="21"/>
              </w:rPr>
              <w:t>139148</w:t>
            </w:r>
          </w:p>
        </w:tc>
      </w:tr>
    </w:tbl>
    <w:p>
      <w:pPr>
        <w:spacing w:line="600" w:lineRule="exact"/>
        <w:rPr>
          <w:rFonts w:hint="default" w:ascii="Times New Roman" w:hAnsi="Times New Roman" w:cs="Times New Roman"/>
        </w:rPr>
        <w:sectPr>
          <w:footerReference r:id="rId10" w:type="default"/>
          <w:pgSz w:w="16838" w:h="11906" w:orient="landscape"/>
          <w:pgMar w:top="1797" w:right="1440" w:bottom="1797" w:left="1440" w:header="1077" w:footer="1304" w:gutter="0"/>
          <w:pgNumType w:start="7"/>
          <w:cols w:space="720" w:num="1"/>
          <w:docGrid w:linePitch="312" w:charSpace="0"/>
        </w:sect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100" w:lineRule="exact"/>
        <w:rPr>
          <w:rFonts w:hint="default" w:ascii="Times New Roman" w:hAnsi="Times New Roman" w:cs="Times New Roman"/>
        </w:rPr>
      </w:pPr>
    </w:p>
    <w:p>
      <w:pPr>
        <w:spacing w:line="600" w:lineRule="exact"/>
        <w:rPr>
          <w:rFonts w:hint="default" w:ascii="Times New Roman" w:hAnsi="Times New Roman" w:cs="Times New Roman"/>
        </w:rPr>
      </w:pPr>
    </w:p>
    <w:tbl>
      <w:tblPr>
        <w:tblStyle w:val="9"/>
        <w:tblpPr w:leftFromText="180" w:rightFromText="180" w:vertAnchor="text" w:horzAnchor="page" w:tblpXSpec="center" w:tblpY="82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060" w:type="dxa"/>
            <w:tcBorders>
              <w:top w:val="single" w:color="auto" w:sz="4" w:space="0"/>
              <w:left w:val="nil"/>
              <w:bottom w:val="single" w:color="auto" w:sz="4" w:space="0"/>
              <w:right w:val="nil"/>
            </w:tcBorders>
            <w:vAlign w:val="center"/>
          </w:tcPr>
          <w:p>
            <w:pPr>
              <w:spacing w:afterLines="30" w:line="600" w:lineRule="exact"/>
              <w:rPr>
                <w:rFonts w:hint="default" w:ascii="Times New Roman" w:hAnsi="Times New Roman" w:eastAsia="方正楷体简体" w:cs="Times New Roman"/>
                <w:sz w:val="32"/>
                <w:szCs w:val="32"/>
              </w:rPr>
            </w:pPr>
            <w:r>
              <w:rPr>
                <w:rFonts w:hint="default" w:ascii="Times New Roman" w:hAnsi="Times New Roman" w:eastAsia="仿宋_GB2312" w:cs="Times New Roman"/>
                <w:sz w:val="32"/>
                <w:szCs w:val="32"/>
              </w:rPr>
              <w:t>金水区人大常委会办公室</w:t>
            </w:r>
            <w:r>
              <w:rPr>
                <w:rFonts w:hint="default" w:ascii="Times New Roman" w:hAnsi="Times New Roman" w:eastAsia="方正楷体简体" w:cs="Times New Roman"/>
                <w:sz w:val="32"/>
                <w:szCs w:val="32"/>
              </w:rPr>
              <w:t xml:space="preserve">               </w:t>
            </w:r>
            <w:r>
              <w:rPr>
                <w:rFonts w:hint="default" w:ascii="Times New Roman" w:hAnsi="Times New Roman" w:eastAsia="仿宋_GB2312" w:cs="Times New Roman"/>
                <w:sz w:val="32"/>
                <w:szCs w:val="32"/>
              </w:rPr>
              <w:t>2020年</w:t>
            </w:r>
            <w:r>
              <w:rPr>
                <w:rFonts w:hint="default" w:ascii="Times New Roman" w:hAnsi="Times New Roman" w:cs="Times New Roman"/>
                <w:sz w:val="32"/>
                <w:szCs w:val="32"/>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rPr>
              <w:t>日印</w:t>
            </w:r>
          </w:p>
        </w:tc>
      </w:tr>
    </w:tbl>
    <w:p>
      <w:pPr>
        <w:spacing w:line="600" w:lineRule="exact"/>
        <w:rPr>
          <w:rFonts w:hint="default" w:ascii="Times New Roman" w:hAnsi="Times New Roman" w:cs="Times New Roman"/>
        </w:rPr>
      </w:pPr>
    </w:p>
    <w:sectPr>
      <w:footerReference r:id="rId11" w:type="default"/>
      <w:pgSz w:w="11906" w:h="16838"/>
      <w:pgMar w:top="1701" w:right="1474" w:bottom="1701"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t>1</w:t>
                          </w:r>
                          <w:r>
                            <w:rPr>
                              <w:rFonts w:ascii="Times New Roman" w:hAnsi="Times New Roman"/>
                              <w:sz w:val="28"/>
                              <w:szCs w:val="28"/>
                            </w:rPr>
                            <w:fldChar w:fldCharType="end"/>
                          </w:r>
                          <w:r>
                            <w:rPr>
                              <w:rFonts w:ascii="Times New Roman" w:hAnsi="Times New Roman"/>
                              <w:sz w:val="28"/>
                              <w:szCs w:val="28"/>
                            </w:rPr>
                            <w:t xml:space="preserve"> —</w:t>
                          </w:r>
                        </w:p>
                      </w:txbxContent>
                    </wps:txbx>
                    <wps:bodyPr wrap="none" lIns="0" tIns="0" rIns="0" bIns="0" upright="1">
                      <a:spAutoFit/>
                    </wps:bodyPr>
                  </wps:wsp>
                </a:graphicData>
              </a:graphic>
            </wp:anchor>
          </w:drawing>
        </mc:Choice>
        <mc:Fallback>
          <w:pict>
            <v:rect id="文本框 14" o:spid="_x0000_s1026"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LKrmPGpAQAAQgMAAA4A&#10;AAAAAAAAAQAgAAAAHwEAAGRycy9lMm9Eb2MueG1sUEsFBgAAAAAGAAYAWQEAADoFAAAAAA==&#10;">
              <v:fill on="f" focussize="0,0"/>
              <v:stroke on="f"/>
              <v:imagedata o:title=""/>
              <o:lock v:ext="edit" aspectratio="f"/>
              <v:textbox inset="0mm,0mm,0mm,0mm" style="mso-fit-shape-to-text:t;">
                <w:txbxContent>
                  <w:p>
                    <w:pPr>
                      <w:pStyle w:val="4"/>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t>1</w:t>
                    </w:r>
                    <w:r>
                      <w:rPr>
                        <w:rFonts w:ascii="Times New Roman" w:hAnsi="Times New Roman"/>
                        <w:sz w:val="28"/>
                        <w:szCs w:val="28"/>
                      </w:rPr>
                      <w:fldChar w:fldCharType="end"/>
                    </w:r>
                    <w:r>
                      <w:rPr>
                        <w:rFonts w:ascii="Times New Roman" w:hAnsi="Times New Roman"/>
                        <w:sz w:val="28"/>
                        <w:szCs w:val="28"/>
                      </w:rPr>
                      <w:t xml:space="preserve"> —</w:t>
                    </w:r>
                  </w:p>
                </w:txbxContent>
              </v:textbox>
            </v:rect>
          </w:pict>
        </mc:Fallback>
      </mc:AlternateContent>
    </w: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03505" cy="139700"/>
              <wp:effectExtent l="0" t="0" r="0" b="0"/>
              <wp:wrapNone/>
              <wp:docPr id="1" name="文本框 4"/>
              <wp:cNvGraphicFramePr/>
              <a:graphic xmlns:a="http://schemas.openxmlformats.org/drawingml/2006/main">
                <a:graphicData uri="http://schemas.microsoft.com/office/word/2010/wordprocessingShape">
                  <wps:wsp>
                    <wps:cNvSpPr/>
                    <wps:spPr>
                      <a:xfrm>
                        <a:off x="0" y="0"/>
                        <a:ext cx="103505" cy="139700"/>
                      </a:xfrm>
                      <a:prstGeom prst="rect">
                        <a:avLst/>
                      </a:prstGeom>
                      <a:noFill/>
                      <a:ln>
                        <a:noFill/>
                      </a:ln>
                    </wps:spPr>
                    <wps:txbx>
                      <w:txbxContent>
                        <w:p>
                          <w:pPr>
                            <w:pStyle w:val="4"/>
                            <w:rPr>
                              <w:rFonts w:hint="eastAsia"/>
                            </w:rPr>
                          </w:pPr>
                        </w:p>
                      </w:txbxContent>
                    </wps:txbx>
                    <wps:bodyPr wrap="none" lIns="0" tIns="0" rIns="0" bIns="0" upright="1">
                      <a:spAutoFit/>
                    </wps:bodyPr>
                  </wps:wsp>
                </a:graphicData>
              </a:graphic>
            </wp:anchor>
          </w:drawing>
        </mc:Choice>
        <mc:Fallback>
          <w:pict>
            <v:rect id="文本框 4" o:spid="_x0000_s1026" o:spt="1" style="position:absolute;left:0pt;margin-top:0pt;height:11pt;width:8.15pt;mso-position-horizontal:outside;mso-position-horizontal-relative:margin;mso-wrap-style:none;z-index:251658240;mso-width-relative:page;mso-height-relative:page;" filled="f" stroked="f" coordsize="21600,21600" o:gfxdata="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XkimX0QAAAAMBAAAP&#10;AAAAAAAAAAEAIAAAACIAAABkcnMvZG93bnJldi54bWxQSwECFAAUAAAACACHTuJA8GScnK0BAAA/&#10;AwAADgAAAAAAAAABACAAAAAgAQAAZHJzL2Uyb0RvYy54bWxQSwUGAAAAAAYABgBZAQAAPwUAAAAA&#10;">
              <v:fill on="f" focussize="0,0"/>
              <v:stroke on="f"/>
              <v:imagedata o:title=""/>
              <o:lock v:ext="edit" aspectratio="f"/>
              <v:textbox inset="0mm,0mm,0mm,0mm" style="mso-fit-shape-to-text:t;">
                <w:txbxContent>
                  <w:p>
                    <w:pPr>
                      <w:pStyle w:val="4"/>
                      <w:rPr>
                        <w:rFonts w:hint="eastAsia"/>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rPr>
                              <w:rFonts w:ascii="Times New Roman" w:hAnsi="Times New Roman"/>
                              <w:sz w:val="28"/>
                              <w:szCs w:val="28"/>
                            </w:rPr>
                          </w:pPr>
                          <w:r>
                            <w:rPr>
                              <w:rFonts w:ascii="Times New Roman" w:hAnsi="Times New Roman"/>
                              <w:sz w:val="28"/>
                              <w:szCs w:val="28"/>
                            </w:rPr>
                            <w:t>— 6 —</w:t>
                          </w:r>
                        </w:p>
                      </w:txbxContent>
                    </wps:txbx>
                    <wps:bodyPr wrap="none" lIns="0" tIns="0" rIns="0" bIns="0" upright="1">
                      <a:spAutoFit/>
                    </wps:bodyPr>
                  </wps:wsp>
                </a:graphicData>
              </a:graphic>
            </wp:anchor>
          </w:drawing>
        </mc:Choice>
        <mc:Fallback>
          <w:pict>
            <v:rect id="文本框 18" o:spid="_x0000_s1026" o:spt="1"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JKNyv+pAQAAQgMAAA4A&#10;AAAAAAAAAQAgAAAAHwEAAGRycy9lMm9Eb2MueG1sUEsFBgAAAAAGAAYAWQEAADoFAAAAAA==&#10;">
              <v:fill on="f" focussize="0,0"/>
              <v:stroke on="f"/>
              <v:imagedata o:title=""/>
              <o:lock v:ext="edit" aspectratio="f"/>
              <v:textbox inset="0mm,0mm,0mm,0mm" style="mso-fit-shape-to-text:t;">
                <w:txbxContent>
                  <w:p>
                    <w:pPr>
                      <w:pStyle w:val="4"/>
                      <w:rPr>
                        <w:rFonts w:ascii="Times New Roman" w:hAnsi="Times New Roman"/>
                        <w:sz w:val="28"/>
                        <w:szCs w:val="28"/>
                      </w:rPr>
                    </w:pPr>
                    <w:r>
                      <w:rPr>
                        <w:rFonts w:ascii="Times New Roman" w:hAnsi="Times New Roman"/>
                        <w:sz w:val="28"/>
                        <w:szCs w:val="28"/>
                      </w:rPr>
                      <w:t>— 6 —</w:t>
                    </w:r>
                  </w:p>
                </w:txbxContent>
              </v:textbox>
            </v:rect>
          </w:pict>
        </mc:Fallback>
      </mc:AlternateContent>
    </w: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3505" cy="139700"/>
              <wp:effectExtent l="0" t="0" r="0" b="0"/>
              <wp:wrapNone/>
              <wp:docPr id="2" name="矩形 1028"/>
              <wp:cNvGraphicFramePr/>
              <a:graphic xmlns:a="http://schemas.openxmlformats.org/drawingml/2006/main">
                <a:graphicData uri="http://schemas.microsoft.com/office/word/2010/wordprocessingShape">
                  <wps:wsp>
                    <wps:cNvSpPr/>
                    <wps:spPr>
                      <a:xfrm>
                        <a:off x="0" y="0"/>
                        <a:ext cx="103505" cy="139700"/>
                      </a:xfrm>
                      <a:prstGeom prst="rect">
                        <a:avLst/>
                      </a:prstGeom>
                      <a:noFill/>
                      <a:ln>
                        <a:noFill/>
                      </a:ln>
                    </wps:spPr>
                    <wps:txbx>
                      <w:txbxContent>
                        <w:p>
                          <w:pPr>
                            <w:pStyle w:val="4"/>
                            <w:rPr>
                              <w:rFonts w:hint="eastAsia"/>
                            </w:rPr>
                          </w:pPr>
                        </w:p>
                      </w:txbxContent>
                    </wps:txbx>
                    <wps:bodyPr wrap="none" lIns="0" tIns="0" rIns="0" bIns="0" upright="1">
                      <a:spAutoFit/>
                    </wps:bodyPr>
                  </wps:wsp>
                </a:graphicData>
              </a:graphic>
            </wp:anchor>
          </w:drawing>
        </mc:Choice>
        <mc:Fallback>
          <w:pict>
            <v:rect id="矩形 1028" o:spid="_x0000_s1026" o:spt="1" style="position:absolute;left:0pt;margin-top:0pt;height:11pt;width:8.15pt;mso-position-horizontal:outside;mso-position-horizontal-relative:margin;mso-wrap-style:none;z-index:251659264;mso-width-relative:page;mso-height-relative:page;" filled="f" stroked="f" coordsize="21600,21600" o:gfxdata="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15Ipl9EAAAADAQAADwAA&#10;AAAAAAABACAAAAAiAAAAZHJzL2Rvd25yZXYueG1sUEsBAhQAFAAAAAgAh07iQNjGyC2rAQAAPwMA&#10;AA4AAAAAAAAAAQAgAAAAIAEAAGRycy9lMm9Eb2MueG1sUEsFBgAAAAAGAAYAWQEAAD0FAAAAAA==&#10;">
              <v:fill on="f" focussize="0,0"/>
              <v:stroke on="f"/>
              <v:imagedata o:title=""/>
              <o:lock v:ext="edit" aspectratio="f"/>
              <v:textbox inset="0mm,0mm,0mm,0mm" style="mso-fit-shape-to-text:t;">
                <w:txbxContent>
                  <w:p>
                    <w:pPr>
                      <w:pStyle w:val="4"/>
                      <w:rPr>
                        <w:rFonts w:hint="eastAsia"/>
                      </w:rPr>
                    </w:pP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64384"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1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t>7</w:t>
                          </w:r>
                          <w:r>
                            <w:rPr>
                              <w:rFonts w:ascii="Times New Roman" w:hAnsi="Times New Roman"/>
                              <w:sz w:val="28"/>
                              <w:szCs w:val="28"/>
                            </w:rPr>
                            <w:fldChar w:fldCharType="end"/>
                          </w:r>
                          <w:r>
                            <w:rPr>
                              <w:rFonts w:ascii="Times New Roman" w:hAnsi="Times New Roman"/>
                              <w:sz w:val="28"/>
                              <w:szCs w:val="28"/>
                            </w:rPr>
                            <w:t xml:space="preserve"> —</w:t>
                          </w:r>
                          <w:r>
                            <w:rPr>
                              <w:rFonts w:hint="eastAsia" w:ascii="Times New Roman" w:hAnsi="Times New Roman"/>
                              <w:sz w:val="28"/>
                              <w:szCs w:val="28"/>
                            </w:rPr>
                            <w:t xml:space="preserve"> </w:t>
                          </w:r>
                        </w:p>
                      </w:txbxContent>
                    </wps:txbx>
                    <wps:bodyPr wrap="none" lIns="0" tIns="0" rIns="0" bIns="0" upright="1">
                      <a:spAutoFit/>
                    </wps:bodyPr>
                  </wps:wsp>
                </a:graphicData>
              </a:graphic>
            </wp:anchor>
          </w:drawing>
        </mc:Choice>
        <mc:Fallback>
          <w:pict>
            <v:rect id="文本框 19" o:spid="_x0000_s1026" o:spt="1" style="position:absolute;left:0pt;margin-top:0pt;height:144pt;width:144pt;mso-position-horizontal:inside;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l1uVLQAAAABQEAAA8AAAAA&#10;AAAAAQAgAAAAIgAAAGRycy9kb3ducmV2LnhtbFBLAQIUABQAAAAIAIdO4kD84tBBqgEAAEIDAAAO&#10;AAAAAAAAAAEAIAAAAB8BAABkcnMvZTJvRG9jLnhtbFBLBQYAAAAABgAGAFkBAAA7BQAAAAA=&#10;">
              <v:fill on="f" focussize="0,0"/>
              <v:stroke on="f"/>
              <v:imagedata o:title=""/>
              <o:lock v:ext="edit" aspectratio="f"/>
              <v:textbox inset="0mm,0mm,0mm,0mm" style="mso-fit-shape-to-text:t;">
                <w:txbxContent>
                  <w:p>
                    <w:pPr>
                      <w:pStyle w:val="4"/>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t>7</w:t>
                    </w:r>
                    <w:r>
                      <w:rPr>
                        <w:rFonts w:ascii="Times New Roman" w:hAnsi="Times New Roman"/>
                        <w:sz w:val="28"/>
                        <w:szCs w:val="28"/>
                      </w:rPr>
                      <w:fldChar w:fldCharType="end"/>
                    </w:r>
                    <w:r>
                      <w:rPr>
                        <w:rFonts w:ascii="Times New Roman" w:hAnsi="Times New Roman"/>
                        <w:sz w:val="28"/>
                        <w:szCs w:val="28"/>
                      </w:rPr>
                      <w:t xml:space="preserve"> —</w:t>
                    </w:r>
                    <w:r>
                      <w:rPr>
                        <w:rFonts w:hint="eastAsia" w:ascii="Times New Roman" w:hAnsi="Times New Roman"/>
                        <w:sz w:val="28"/>
                        <w:szCs w:val="28"/>
                      </w:rPr>
                      <w:t xml:space="preserve"> </w:t>
                    </w:r>
                  </w:p>
                </w:txbxContent>
              </v:textbox>
            </v:rect>
          </w:pict>
        </mc:Fallback>
      </mc:AlternateContent>
    </w: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3505" cy="139700"/>
              <wp:effectExtent l="0" t="0" r="0" b="0"/>
              <wp:wrapNone/>
              <wp:docPr id="3" name="矩形 1030"/>
              <wp:cNvGraphicFramePr/>
              <a:graphic xmlns:a="http://schemas.openxmlformats.org/drawingml/2006/main">
                <a:graphicData uri="http://schemas.microsoft.com/office/word/2010/wordprocessingShape">
                  <wps:wsp>
                    <wps:cNvSpPr/>
                    <wps:spPr>
                      <a:xfrm>
                        <a:off x="0" y="0"/>
                        <a:ext cx="103505" cy="139700"/>
                      </a:xfrm>
                      <a:prstGeom prst="rect">
                        <a:avLst/>
                      </a:prstGeom>
                      <a:noFill/>
                      <a:ln>
                        <a:noFill/>
                      </a:ln>
                    </wps:spPr>
                    <wps:txbx>
                      <w:txbxContent>
                        <w:p>
                          <w:pPr>
                            <w:pStyle w:val="4"/>
                            <w:rPr>
                              <w:rFonts w:hint="eastAsia"/>
                            </w:rPr>
                          </w:pPr>
                        </w:p>
                      </w:txbxContent>
                    </wps:txbx>
                    <wps:bodyPr wrap="none" lIns="0" tIns="0" rIns="0" bIns="0" upright="1">
                      <a:spAutoFit/>
                    </wps:bodyPr>
                  </wps:wsp>
                </a:graphicData>
              </a:graphic>
            </wp:anchor>
          </w:drawing>
        </mc:Choice>
        <mc:Fallback>
          <w:pict>
            <v:rect id="矩形 1030" o:spid="_x0000_s1026" o:spt="1" style="position:absolute;left:0pt;margin-top:0pt;height:11pt;width:8.15pt;mso-position-horizontal:outside;mso-position-horizontal-relative:margin;mso-wrap-style:none;z-index:251660288;mso-width-relative:page;mso-height-relative:page;" filled="f" stroked="f" coordsize="21600,21600" o:gfxdata="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15Ipl9EAAAADAQAADwAAAAAA&#10;AAABACAAAAAiAAAAZHJzL2Rvd25yZXYueG1sUEsBAhQAFAAAAAgAh07iQDXQkCWoAQAAPwMAAA4A&#10;AAAAAAAAAQAgAAAAIAEAAGRycy9lMm9Eb2MueG1sUEsFBgAAAAAGAAYAWQEAADoFAAAAAA==&#10;">
              <v:fill on="f" focussize="0,0"/>
              <v:stroke on="f"/>
              <v:imagedata o:title=""/>
              <o:lock v:ext="edit" aspectratio="f"/>
              <v:textbox inset="0mm,0mm,0mm,0mm" style="mso-fit-shape-to-text:t;">
                <w:txbxContent>
                  <w:p>
                    <w:pPr>
                      <w:pStyle w:val="4"/>
                      <w:rPr>
                        <w:rFonts w:hint="eastAsia"/>
                      </w:rPr>
                    </w:pP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03505" cy="139700"/>
              <wp:effectExtent l="0" t="0" r="0" b="0"/>
              <wp:wrapNone/>
              <wp:docPr id="5" name="矩形 1031"/>
              <wp:cNvGraphicFramePr/>
              <a:graphic xmlns:a="http://schemas.openxmlformats.org/drawingml/2006/main">
                <a:graphicData uri="http://schemas.microsoft.com/office/word/2010/wordprocessingShape">
                  <wps:wsp>
                    <wps:cNvSpPr/>
                    <wps:spPr>
                      <a:xfrm>
                        <a:off x="0" y="0"/>
                        <a:ext cx="103505" cy="139700"/>
                      </a:xfrm>
                      <a:prstGeom prst="rect">
                        <a:avLst/>
                      </a:prstGeom>
                      <a:noFill/>
                      <a:ln>
                        <a:noFill/>
                      </a:ln>
                    </wps:spPr>
                    <wps:txbx>
                      <w:txbxContent>
                        <w:p>
                          <w:pPr>
                            <w:pStyle w:val="4"/>
                            <w:rPr>
                              <w:rFonts w:hint="eastAsia"/>
                            </w:rPr>
                          </w:pPr>
                        </w:p>
                      </w:txbxContent>
                    </wps:txbx>
                    <wps:bodyPr wrap="none" lIns="0" tIns="0" rIns="0" bIns="0" upright="1">
                      <a:spAutoFit/>
                    </wps:bodyPr>
                  </wps:wsp>
                </a:graphicData>
              </a:graphic>
            </wp:anchor>
          </w:drawing>
        </mc:Choice>
        <mc:Fallback>
          <w:pict>
            <v:rect id="矩形 1031" o:spid="_x0000_s1026" o:spt="1" style="position:absolute;left:0pt;margin-top:0pt;height:11pt;width:8.15pt;mso-position-horizontal:outside;mso-position-horizontal-relative:margin;mso-wrap-style:none;z-index:251662336;mso-width-relative:page;mso-height-relative:page;" filled="f" stroked="f" coordsize="21600,21600" o:gfxdata="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eSKZfRAAAAAwEAAA8AAAAA&#10;AAAAAQAgAAAAIgAAAGRycy9kb3ducmV2LnhtbFBLAQIUABQAAAAIAIdO4kAAROIbqQEAAD8DAAAO&#10;AAAAAAAAAAEAIAAAACABAABkcnMvZTJvRG9jLnhtbFBLBQYAAAAABgAGAFkBAAA7BQAAAAA=&#10;">
              <v:fill on="f" focussize="0,0"/>
              <v:stroke on="f"/>
              <v:imagedata o:title=""/>
              <o:lock v:ext="edit" aspectratio="f"/>
              <v:textbox inset="0mm,0mm,0mm,0mm" style="mso-fit-shape-to-text:t;">
                <w:txbxContent>
                  <w:p>
                    <w:pPr>
                      <w:pStyle w:val="4"/>
                      <w:rPr>
                        <w:rFonts w:hint="eastAsia"/>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66D60"/>
    <w:rsid w:val="23250CF9"/>
    <w:rsid w:val="55076720"/>
    <w:rsid w:val="5B0B733F"/>
    <w:rsid w:val="608B3BA8"/>
    <w:rsid w:val="7E3377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link w:val="7"/>
    <w:semiHidden/>
    <w:qFormat/>
    <w:uiPriority w:val="0"/>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rPr>
  </w:style>
  <w:style w:type="paragraph" w:styleId="3">
    <w:name w:val="Body Text Indent"/>
    <w:basedOn w:val="1"/>
    <w:qFormat/>
    <w:uiPriority w:val="0"/>
    <w:pPr>
      <w:spacing w:after="120" w:afterLines="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_Style 3"/>
    <w:basedOn w:val="1"/>
    <w:link w:val="6"/>
    <w:qFormat/>
    <w:uiPriority w:val="0"/>
    <w:pPr>
      <w:widowControl/>
      <w:spacing w:after="160" w:line="240" w:lineRule="exact"/>
      <w:jc w:val="left"/>
    </w:p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8</Pages>
  <Words>2955</Words>
  <Characters>3838</Characters>
  <Lines>30</Lines>
  <Paragraphs>8</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2020-11-23T07:20:00Z</dcterms:created>
  <dc:creator>Administrator</dc:creator>
  <cp:lastModifiedBy>Administrator</cp:lastModifiedBy>
  <cp:lastPrinted>2020-11-24T07:49:00Z</cp:lastPrinted>
  <dcterms:modified xsi:type="dcterms:W3CDTF">2020-12-29T10:17:55Z</dcterms:modified>
  <dc:title>关于2019年度财政收支预算调整情况的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