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337" w:type="dxa"/>
        <w:tblInd w:w="0" w:type="dxa"/>
        <w:tblLayout w:type="fixed"/>
        <w:tblCellMar>
          <w:top w:w="0" w:type="dxa"/>
          <w:left w:w="0" w:type="dxa"/>
          <w:bottom w:w="0" w:type="dxa"/>
          <w:right w:w="0" w:type="dxa"/>
        </w:tblCellMar>
      </w:tblPr>
      <w:tblGrid>
        <w:gridCol w:w="481"/>
        <w:gridCol w:w="1016"/>
        <w:gridCol w:w="945"/>
        <w:gridCol w:w="1185"/>
        <w:gridCol w:w="1515"/>
        <w:gridCol w:w="1290"/>
        <w:gridCol w:w="1470"/>
        <w:gridCol w:w="6435"/>
      </w:tblGrid>
      <w:tr>
        <w:tblPrEx>
          <w:tblCellMar>
            <w:top w:w="0" w:type="dxa"/>
            <w:left w:w="0" w:type="dxa"/>
            <w:bottom w:w="0" w:type="dxa"/>
            <w:right w:w="0" w:type="dxa"/>
          </w:tblCellMar>
        </w:tblPrEx>
        <w:trPr>
          <w:trHeight w:val="856" w:hRule="atLeast"/>
        </w:trPr>
        <w:tc>
          <w:tcPr>
            <w:tcW w:w="14337" w:type="dxa"/>
            <w:gridSpan w:val="8"/>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郑州市金水区市场监督管理局随机抽查事项清单（第四版）</w:t>
            </w:r>
          </w:p>
        </w:tc>
      </w:tr>
      <w:tr>
        <w:tblPrEx>
          <w:tblCellMar>
            <w:top w:w="0" w:type="dxa"/>
            <w:left w:w="0" w:type="dxa"/>
            <w:bottom w:w="0" w:type="dxa"/>
            <w:right w:w="0" w:type="dxa"/>
          </w:tblCellMar>
        </w:tblPrEx>
        <w:trPr>
          <w:trHeight w:val="316"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9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抽查项目</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检查对象</w:t>
            </w:r>
          </w:p>
        </w:tc>
        <w:tc>
          <w:tcPr>
            <w:tcW w:w="15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事项类别</w:t>
            </w:r>
          </w:p>
        </w:tc>
        <w:tc>
          <w:tcPr>
            <w:tcW w:w="12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检查方式</w:t>
            </w:r>
          </w:p>
        </w:tc>
        <w:tc>
          <w:tcPr>
            <w:tcW w:w="14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检查主体</w:t>
            </w:r>
          </w:p>
        </w:tc>
        <w:tc>
          <w:tcPr>
            <w:tcW w:w="643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bookmarkStart w:id="0" w:name="_GoBack"/>
            <w:bookmarkEnd w:id="0"/>
            <w:r>
              <w:rPr>
                <w:rFonts w:hint="eastAsia" w:ascii="黑体" w:hAnsi="宋体" w:eastAsia="黑体" w:cs="黑体"/>
                <w:i w:val="0"/>
                <w:color w:val="000000"/>
                <w:kern w:val="0"/>
                <w:sz w:val="22"/>
                <w:szCs w:val="22"/>
                <w:u w:val="none"/>
                <w:lang w:val="en-US" w:eastAsia="zh-CN" w:bidi="ar"/>
              </w:rPr>
              <w:t>检查依据</w:t>
            </w: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抽查类别</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抽查事项</w:t>
            </w:r>
          </w:p>
        </w:tc>
        <w:tc>
          <w:tcPr>
            <w:tcW w:w="11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51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643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2316"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登记事项检查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营业执照（登记证）规范使用情况的检查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市场主体登记管理条例</w:t>
            </w:r>
            <w:r>
              <w:rPr>
                <w:rFonts w:hint="eastAsia" w:ascii="仿宋_GB2312" w:hAnsi="宋体" w:eastAsia="仿宋_GB2312" w:cs="仿宋_GB2312"/>
                <w:i w:val="0"/>
                <w:color w:val="000000"/>
                <w:kern w:val="0"/>
                <w:sz w:val="22"/>
                <w:szCs w:val="22"/>
                <w:u w:val="none"/>
                <w:lang w:val="en-US" w:eastAsia="zh-CN" w:bidi="ar"/>
              </w:rPr>
              <w:t>》第四十三条、第四十四条、第四十八条</w:t>
            </w:r>
          </w:p>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市场主体登记管理条例实施细则</w:t>
            </w:r>
            <w:r>
              <w:rPr>
                <w:rFonts w:hint="eastAsia" w:ascii="仿宋_GB2312" w:hAnsi="宋体" w:eastAsia="仿宋_GB2312" w:cs="仿宋_GB2312"/>
                <w:i w:val="0"/>
                <w:color w:val="000000"/>
                <w:kern w:val="0"/>
                <w:sz w:val="22"/>
                <w:szCs w:val="22"/>
                <w:u w:val="none"/>
                <w:lang w:val="en-US" w:eastAsia="zh-CN" w:bidi="ar"/>
              </w:rPr>
              <w:t>》第十一章</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《个人独资企业法》第三十五条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《个体工商户条例》第二十二条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《外国企业常驻代表机构登记管理条例》第十八条、第十九条、第三十六条第三款、第三十八条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《电子商务法》第十五条</w:t>
            </w:r>
          </w:p>
        </w:tc>
      </w:tr>
      <w:tr>
        <w:tblPrEx>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名称规范使用情况的检查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《企业名称登记管理规定》第二十</w:t>
            </w:r>
            <w:r>
              <w:rPr>
                <w:rFonts w:hint="eastAsia" w:ascii="仿宋_GB2312" w:hAnsi="宋体" w:eastAsia="仿宋_GB2312" w:cs="仿宋_GB2312"/>
                <w:i w:val="0"/>
                <w:color w:val="000000"/>
                <w:kern w:val="0"/>
                <w:sz w:val="22"/>
                <w:szCs w:val="22"/>
                <w:u w:val="none"/>
                <w:lang w:val="en-US" w:eastAsia="zh-CN" w:bidi="ar"/>
              </w:rPr>
              <w:t>二条、</w:t>
            </w:r>
            <w:r>
              <w:rPr>
                <w:rFonts w:hint="default" w:ascii="仿宋_GB2312" w:hAnsi="宋体" w:eastAsia="仿宋_GB2312" w:cs="仿宋_GB2312"/>
                <w:i w:val="0"/>
                <w:color w:val="000000"/>
                <w:kern w:val="0"/>
                <w:sz w:val="22"/>
                <w:szCs w:val="22"/>
                <w:u w:val="none"/>
                <w:lang w:val="en-US" w:eastAsia="zh-CN" w:bidi="ar"/>
              </w:rPr>
              <w:t>第二十</w:t>
            </w:r>
            <w:r>
              <w:rPr>
                <w:rFonts w:hint="eastAsia" w:ascii="仿宋_GB2312" w:hAnsi="宋体" w:eastAsia="仿宋_GB2312" w:cs="仿宋_GB2312"/>
                <w:i w:val="0"/>
                <w:color w:val="000000"/>
                <w:kern w:val="0"/>
                <w:sz w:val="22"/>
                <w:szCs w:val="22"/>
                <w:u w:val="none"/>
                <w:lang w:val="en-US" w:eastAsia="zh-CN" w:bidi="ar"/>
              </w:rPr>
              <w:t>三条、第</w:t>
            </w:r>
            <w:r>
              <w:rPr>
                <w:rFonts w:hint="default" w:ascii="仿宋_GB2312" w:hAnsi="宋体" w:eastAsia="仿宋_GB2312" w:cs="仿宋_GB2312"/>
                <w:i w:val="0"/>
                <w:color w:val="000000"/>
                <w:kern w:val="0"/>
                <w:sz w:val="22"/>
                <w:szCs w:val="22"/>
                <w:u w:val="none"/>
                <w:lang w:val="en-US" w:eastAsia="zh-CN" w:bidi="ar"/>
              </w:rPr>
              <w:t>二十</w:t>
            </w:r>
            <w:r>
              <w:rPr>
                <w:rFonts w:hint="eastAsia" w:ascii="仿宋_GB2312" w:hAnsi="宋体" w:eastAsia="仿宋_GB2312" w:cs="仿宋_GB2312"/>
                <w:i w:val="0"/>
                <w:color w:val="000000"/>
                <w:kern w:val="0"/>
                <w:sz w:val="22"/>
                <w:szCs w:val="22"/>
                <w:u w:val="none"/>
                <w:lang w:val="en-US" w:eastAsia="zh-CN" w:bidi="ar"/>
              </w:rPr>
              <w:t>四</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、第</w:t>
            </w:r>
            <w:r>
              <w:rPr>
                <w:rFonts w:hint="default" w:ascii="仿宋_GB2312" w:hAnsi="宋体" w:eastAsia="仿宋_GB2312" w:cs="仿宋_GB2312"/>
                <w:i w:val="0"/>
                <w:color w:val="000000"/>
                <w:kern w:val="0"/>
                <w:sz w:val="22"/>
                <w:szCs w:val="22"/>
                <w:u w:val="none"/>
                <w:lang w:val="en-US" w:eastAsia="zh-CN" w:bidi="ar"/>
              </w:rPr>
              <w:t>二十</w:t>
            </w:r>
            <w:r>
              <w:rPr>
                <w:rFonts w:hint="eastAsia" w:ascii="仿宋_GB2312" w:hAnsi="宋体" w:eastAsia="仿宋_GB2312" w:cs="仿宋_GB2312"/>
                <w:i w:val="0"/>
                <w:color w:val="000000"/>
                <w:kern w:val="0"/>
                <w:sz w:val="22"/>
                <w:szCs w:val="22"/>
                <w:u w:val="none"/>
                <w:lang w:val="en-US" w:eastAsia="zh-CN" w:bidi="ar"/>
              </w:rPr>
              <w:t>五</w:t>
            </w:r>
            <w:r>
              <w:rPr>
                <w:rFonts w:hint="default" w:ascii="仿宋_GB2312" w:hAnsi="宋体" w:eastAsia="仿宋_GB2312" w:cs="仿宋_GB2312"/>
                <w:i w:val="0"/>
                <w:color w:val="000000"/>
                <w:kern w:val="0"/>
                <w:sz w:val="22"/>
                <w:szCs w:val="22"/>
                <w:u w:val="none"/>
                <w:lang w:val="en-US" w:eastAsia="zh-CN" w:bidi="ar"/>
              </w:rPr>
              <w:t xml:space="preserve">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《个人独资企业法》第三十四条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《合伙企业法》第九十四条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《个体工商户条例》第二十三条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《外国企业常驻代表机构登记管理条例》第三十八条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市场主体登记管理条例实施细则</w:t>
            </w:r>
            <w:r>
              <w:rPr>
                <w:rFonts w:hint="eastAsia" w:ascii="仿宋_GB2312" w:hAnsi="宋体" w:eastAsia="仿宋_GB2312" w:cs="仿宋_GB2312"/>
                <w:i w:val="0"/>
                <w:color w:val="000000"/>
                <w:kern w:val="0"/>
                <w:sz w:val="22"/>
                <w:szCs w:val="22"/>
                <w:u w:val="none"/>
                <w:lang w:val="en-US" w:eastAsia="zh-CN" w:bidi="ar"/>
              </w:rPr>
              <w:t>》第七十二条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经营（驻在）期限的检查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《市场主体登记管理条例》第四十三条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第四十四条</w:t>
            </w:r>
            <w:r>
              <w:rPr>
                <w:rFonts w:hint="eastAsia" w:ascii="仿宋_GB2312" w:hAnsi="宋体" w:eastAsia="仿宋_GB2312" w:cs="仿宋_GB2312"/>
                <w:i w:val="0"/>
                <w:color w:val="000000"/>
                <w:kern w:val="0"/>
                <w:sz w:val="22"/>
                <w:szCs w:val="22"/>
                <w:u w:val="none"/>
                <w:lang w:val="en-US" w:eastAsia="zh-CN" w:bidi="ar"/>
              </w:rPr>
              <w:t>、第四十六条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《市场主体登记管理条例实施细则》第</w:t>
            </w:r>
            <w:r>
              <w:rPr>
                <w:rFonts w:hint="eastAsia" w:ascii="仿宋_GB2312" w:hAnsi="宋体" w:eastAsia="仿宋_GB2312" w:cs="仿宋_GB2312"/>
                <w:i w:val="0"/>
                <w:color w:val="000000"/>
                <w:kern w:val="0"/>
                <w:sz w:val="22"/>
                <w:szCs w:val="22"/>
                <w:u w:val="none"/>
                <w:lang w:val="en-US" w:eastAsia="zh-CN" w:bidi="ar"/>
              </w:rPr>
              <w:t>七十二条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《公司法》第二百一十一条第二款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《合伙企业法》第九十五条第二款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《外国企业常驻代表机构登记管理条例》第十六条、第三十五条第二款、第三十八条</w:t>
            </w: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经营（业务）范围中无需审批的经营（业务）项目的检查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《市场主体登记管理条例》第四十三条、第四十四条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第四</w:t>
            </w:r>
            <w:r>
              <w:rPr>
                <w:rFonts w:hint="eastAsia" w:ascii="仿宋_GB2312" w:hAnsi="宋体" w:eastAsia="仿宋_GB2312" w:cs="仿宋_GB2312"/>
                <w:i w:val="0"/>
                <w:color w:val="000000"/>
                <w:kern w:val="0"/>
                <w:sz w:val="22"/>
                <w:szCs w:val="22"/>
                <w:u w:val="none"/>
                <w:lang w:val="en-US" w:eastAsia="zh-CN" w:bidi="ar"/>
              </w:rPr>
              <w:t>十六</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第四</w:t>
            </w:r>
            <w:r>
              <w:rPr>
                <w:rFonts w:hint="eastAsia" w:ascii="仿宋_GB2312" w:hAnsi="宋体" w:eastAsia="仿宋_GB2312" w:cs="仿宋_GB2312"/>
                <w:i w:val="0"/>
                <w:color w:val="000000"/>
                <w:kern w:val="0"/>
                <w:sz w:val="22"/>
                <w:szCs w:val="22"/>
                <w:u w:val="none"/>
                <w:lang w:val="en-US" w:eastAsia="zh-CN" w:bidi="ar"/>
              </w:rPr>
              <w:t>十七</w:t>
            </w:r>
            <w:r>
              <w:rPr>
                <w:rFonts w:hint="default" w:ascii="仿宋_GB2312" w:hAnsi="宋体" w:eastAsia="仿宋_GB2312" w:cs="仿宋_GB2312"/>
                <w:i w:val="0"/>
                <w:color w:val="000000"/>
                <w:kern w:val="0"/>
                <w:sz w:val="22"/>
                <w:szCs w:val="22"/>
                <w:u w:val="none"/>
                <w:lang w:val="en-US" w:eastAsia="zh-CN" w:bidi="ar"/>
              </w:rPr>
              <w:t>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《公司法》第二百一十一条第二款</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《市场主体登记管理条例实施细则》第六十</w:t>
            </w:r>
            <w:r>
              <w:rPr>
                <w:rFonts w:hint="eastAsia" w:ascii="仿宋_GB2312" w:hAnsi="宋体" w:eastAsia="仿宋_GB2312" w:cs="仿宋_GB2312"/>
                <w:i w:val="0"/>
                <w:color w:val="000000"/>
                <w:kern w:val="0"/>
                <w:sz w:val="22"/>
                <w:szCs w:val="22"/>
                <w:u w:val="none"/>
                <w:lang w:val="en-US" w:eastAsia="zh-CN" w:bidi="ar"/>
              </w:rPr>
              <w:t>八</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第六十九条</w:t>
            </w:r>
            <w:r>
              <w:rPr>
                <w:rFonts w:hint="eastAsia" w:ascii="仿宋_GB2312" w:hAnsi="宋体" w:eastAsia="仿宋_GB2312" w:cs="仿宋_GB2312"/>
                <w:i w:val="0"/>
                <w:color w:val="000000"/>
                <w:kern w:val="0"/>
                <w:sz w:val="22"/>
                <w:szCs w:val="22"/>
                <w:u w:val="none"/>
                <w:lang w:val="en-US" w:eastAsia="zh-CN" w:bidi="ar"/>
              </w:rPr>
              <w:t>、第七十二条、第七十三条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《合伙企业法》第九十五条第二款</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《个人独资企业法》第三十七条第二款</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《个体工商户条例》第二十三条第一款</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《外国企业常驻代表机构登记管理条例》第三十五条第二款、第三十七条、第三十八条</w:t>
            </w: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6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住所（经营场所）或驻在场所的检查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注册资本实缴情况的检查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highlight w:val="none"/>
                <w:u w:val="none"/>
                <w:lang w:val="en-US" w:eastAsia="zh-CN" w:bidi="ar"/>
              </w:rPr>
              <w:t>暂不实行注册资本认缴登记制的企业</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《市场主体登记管理条例》第四十三条、第四十四条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第四十</w:t>
            </w:r>
            <w:r>
              <w:rPr>
                <w:rFonts w:hint="eastAsia" w:ascii="仿宋_GB2312" w:hAnsi="宋体" w:eastAsia="仿宋_GB2312" w:cs="仿宋_GB2312"/>
                <w:i w:val="0"/>
                <w:color w:val="000000"/>
                <w:kern w:val="0"/>
                <w:sz w:val="22"/>
                <w:szCs w:val="22"/>
                <w:u w:val="none"/>
                <w:lang w:val="en-US" w:eastAsia="zh-CN" w:bidi="ar"/>
              </w:rPr>
              <w:t>五</w:t>
            </w:r>
            <w:r>
              <w:rPr>
                <w:rFonts w:hint="default" w:ascii="仿宋_GB2312" w:hAnsi="宋体" w:eastAsia="仿宋_GB2312" w:cs="仿宋_GB2312"/>
                <w:i w:val="0"/>
                <w:color w:val="000000"/>
                <w:kern w:val="0"/>
                <w:sz w:val="22"/>
                <w:szCs w:val="22"/>
                <w:u w:val="none"/>
                <w:lang w:val="en-US" w:eastAsia="zh-CN" w:bidi="ar"/>
              </w:rPr>
              <w:t>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《市场主体登记管理条例实施细则》第</w:t>
            </w:r>
            <w:r>
              <w:rPr>
                <w:rFonts w:hint="eastAsia" w:ascii="仿宋_GB2312" w:hAnsi="宋体" w:eastAsia="仿宋_GB2312" w:cs="仿宋_GB2312"/>
                <w:i w:val="0"/>
                <w:color w:val="000000"/>
                <w:kern w:val="0"/>
                <w:sz w:val="22"/>
                <w:szCs w:val="22"/>
                <w:u w:val="none"/>
                <w:lang w:val="en-US" w:eastAsia="zh-CN" w:bidi="ar"/>
              </w:rPr>
              <w:t>七</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w:t>
            </w:r>
            <w:r>
              <w:rPr>
                <w:rFonts w:hint="eastAsia" w:ascii="仿宋_GB2312" w:hAnsi="宋体" w:eastAsia="仿宋_GB2312" w:cs="仿宋_GB2312"/>
                <w:i w:val="0"/>
                <w:color w:val="000000"/>
                <w:kern w:val="0"/>
                <w:sz w:val="22"/>
                <w:szCs w:val="22"/>
                <w:u w:val="none"/>
                <w:lang w:val="en-US" w:eastAsia="zh-CN" w:bidi="ar"/>
              </w:rPr>
              <w:t>三十六</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、第七十二条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《公司法》第一百九十八条至第二百条、第二百一十一条第二款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《合伙企业法》第九十五条第二款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 xml:space="preserve">《个人独资企业法》第三十七条第二款 </w:t>
            </w: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法定代表人（负责人）任职情况的检查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《市场主体登记管理条例》第四十三条、第四十四条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《市场主体登记管理条例实施细则》第七十二条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《公司法》第二百一十一条第二款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《合伙企业法》第九十五条第二款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《个人独资企业法》第三十七条第二款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法定代表人、自然人股东身份真实性的检查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《公司法》第一百九十八条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《合伙企业法》第九十三条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《个人独资企业法》第三十三条</w:t>
            </w:r>
          </w:p>
        </w:tc>
      </w:tr>
      <w:tr>
        <w:tblPrEx>
          <w:tblCellMar>
            <w:top w:w="0" w:type="dxa"/>
            <w:left w:w="0" w:type="dxa"/>
            <w:bottom w:w="0" w:type="dxa"/>
            <w:right w:w="0" w:type="dxa"/>
          </w:tblCellMar>
        </w:tblPrEx>
        <w:trPr>
          <w:trHeight w:val="3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2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8"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2</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公示信息检查</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年度报告公示信息的检查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现场检查、书面检查、网络检查、专业机构核查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《企业信息公示暂行条例》第三条、第八条、第九条、第十一条、第十二条、第十五条、第十七条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《企业公示信息抽查暂行办法》第十条、第十二条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《企业经营异常名录管理暂行办法》第四条、第六条、第八条、第九条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《个体工商户年度报告暂行办法》第六条、第十一条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 xml:space="preserve">《农民专业合作社年度报告公示暂行办法》第五条、第八条 </w:t>
            </w:r>
          </w:p>
        </w:tc>
      </w:tr>
      <w:tr>
        <w:tblPrEx>
          <w:tblCellMar>
            <w:top w:w="0" w:type="dxa"/>
            <w:left w:w="0" w:type="dxa"/>
            <w:bottom w:w="0" w:type="dxa"/>
            <w:right w:w="0"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8"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即时公示信息的检查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现场检查、书面检查、网络检查、专业机构核查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《企业信息公示暂行条例》第三条、第十条、第十一条、第十二条、第十五条、第十七条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《企业公示信息抽查暂行办法》第十条、第十二条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《企业经营异常名录管理暂行办法》第四条、第七条、第八条、第九条</w:t>
            </w:r>
          </w:p>
        </w:tc>
      </w:tr>
      <w:tr>
        <w:tblPrEx>
          <w:tblCellMar>
            <w:top w:w="0" w:type="dxa"/>
            <w:left w:w="0" w:type="dxa"/>
            <w:bottom w:w="0" w:type="dxa"/>
            <w:right w:w="0" w:type="dxa"/>
          </w:tblCellMar>
        </w:tblPrEx>
        <w:trPr>
          <w:trHeight w:val="543"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13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11" w:hRule="atLeast"/>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价格行为检查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执行政府定价、政府指导价情况，明码标价情况及其他价格行为的检查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《价格法》规定的经营者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现场检查等</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《价格法》</w:t>
            </w:r>
          </w:p>
        </w:tc>
      </w:tr>
      <w:tr>
        <w:tblPrEx>
          <w:tblCellMar>
            <w:top w:w="0" w:type="dxa"/>
            <w:left w:w="0" w:type="dxa"/>
            <w:bottom w:w="0" w:type="dxa"/>
            <w:right w:w="0" w:type="dxa"/>
          </w:tblCellMar>
        </w:tblPrEx>
        <w:trPr>
          <w:trHeight w:val="90" w:hRule="atLeast"/>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直销行为检查</w:t>
            </w:r>
          </w:p>
        </w:tc>
        <w:tc>
          <w:tcPr>
            <w:tcW w:w="94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重大变更、直销员报酬支付、信息报备和披露、服务网点的设立、产品摆放及标价退换货制度的情况检查</w:t>
            </w:r>
          </w:p>
        </w:tc>
        <w:tc>
          <w:tcPr>
            <w:tcW w:w="11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直销企业</w:t>
            </w:r>
            <w:r>
              <w:rPr>
                <w:rFonts w:hint="eastAsia" w:ascii="仿宋_GB2312" w:hAnsi="宋体" w:eastAsia="仿宋_GB2312" w:cs="仿宋_GB2312"/>
                <w:i w:val="0"/>
                <w:color w:val="000000"/>
                <w:kern w:val="0"/>
                <w:sz w:val="22"/>
                <w:szCs w:val="22"/>
                <w:u w:val="none"/>
                <w:lang w:val="en-US" w:eastAsia="zh-CN" w:bidi="ar"/>
              </w:rPr>
              <w:t>分支机构</w:t>
            </w:r>
          </w:p>
        </w:tc>
        <w:tc>
          <w:tcPr>
            <w:tcW w:w="15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现场检查、书面检查、网络检查等</w:t>
            </w:r>
          </w:p>
        </w:tc>
        <w:tc>
          <w:tcPr>
            <w:tcW w:w="14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highlight w:val="none"/>
                <w:u w:val="none"/>
                <w:lang w:val="en-US" w:eastAsia="zh-CN" w:bidi="ar"/>
              </w:rPr>
              <w:t>省级、市级市场监管部门</w:t>
            </w:r>
          </w:p>
        </w:tc>
        <w:tc>
          <w:tcPr>
            <w:tcW w:w="64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《直销管理条例》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《直销企业信息报备、披露管理办法》</w:t>
            </w:r>
          </w:p>
        </w:tc>
      </w:tr>
      <w:tr>
        <w:tblPrEx>
          <w:tblCellMar>
            <w:top w:w="0" w:type="dxa"/>
            <w:left w:w="0" w:type="dxa"/>
            <w:bottom w:w="0" w:type="dxa"/>
            <w:right w:w="0" w:type="dxa"/>
          </w:tblCellMar>
        </w:tblPrEx>
        <w:trPr>
          <w:trHeight w:val="278"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5</w:t>
            </w:r>
          </w:p>
        </w:tc>
        <w:tc>
          <w:tcPr>
            <w:tcW w:w="1016"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电子商务经营行为监督检查</w:t>
            </w:r>
          </w:p>
        </w:tc>
        <w:tc>
          <w:tcPr>
            <w:tcW w:w="94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电子商务平台经营者履行主体责任的检查</w:t>
            </w:r>
          </w:p>
        </w:tc>
        <w:tc>
          <w:tcPr>
            <w:tcW w:w="11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电子商务平台经营者</w:t>
            </w:r>
          </w:p>
        </w:tc>
        <w:tc>
          <w:tcPr>
            <w:tcW w:w="15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书面检查、网络检查、专业机构核查</w:t>
            </w:r>
          </w:p>
        </w:tc>
        <w:tc>
          <w:tcPr>
            <w:tcW w:w="14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《电子商务法》第二十七条、第三十一条、第三十二条、第三十三条、第三十四条、第三十六条、第三十七条、第三十九条、第四十条</w:t>
            </w:r>
          </w:p>
        </w:tc>
      </w:tr>
      <w:tr>
        <w:tblPrEx>
          <w:tblCellMar>
            <w:top w:w="0" w:type="dxa"/>
            <w:left w:w="0" w:type="dxa"/>
            <w:bottom w:w="0" w:type="dxa"/>
            <w:right w:w="0" w:type="dxa"/>
          </w:tblCellMar>
        </w:tblPrEx>
        <w:trPr>
          <w:trHeight w:val="1418"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56"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6</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拍卖等重要领域市场规范管理检查</w:t>
            </w:r>
          </w:p>
        </w:tc>
        <w:tc>
          <w:tcPr>
            <w:tcW w:w="9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拍卖活动经营资格的检查</w:t>
            </w:r>
          </w:p>
        </w:tc>
        <w:tc>
          <w:tcPr>
            <w:tcW w:w="118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5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《拍卖法》第十一条、第六十条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《拍卖监督管理办法》第四条、第十一条</w:t>
            </w:r>
          </w:p>
        </w:tc>
      </w:tr>
      <w:tr>
        <w:tblPrEx>
          <w:tblCellMar>
            <w:top w:w="0" w:type="dxa"/>
            <w:left w:w="0" w:type="dxa"/>
            <w:bottom w:w="0" w:type="dxa"/>
            <w:right w:w="0" w:type="dxa"/>
          </w:tblCellMar>
        </w:tblPrEx>
        <w:trPr>
          <w:trHeight w:val="108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文物经营活动经营资格的检查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《文物保护法》第五十三条、第五十四条、第七十二条以及第七十三条第一项、第二项</w:t>
            </w:r>
          </w:p>
        </w:tc>
      </w:tr>
      <w:tr>
        <w:tblPrEx>
          <w:tblCellMar>
            <w:top w:w="0" w:type="dxa"/>
            <w:left w:w="0" w:type="dxa"/>
            <w:bottom w:w="0" w:type="dxa"/>
            <w:right w:w="0" w:type="dxa"/>
          </w:tblCellMar>
        </w:tblPrEx>
        <w:trPr>
          <w:trHeight w:val="46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为非法交易野生动物等违法行为提供交易服务的检查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《野生动物保护法》第三十二条、第五十一条</w:t>
            </w:r>
          </w:p>
        </w:tc>
      </w:tr>
      <w:tr>
        <w:tblPrEx>
          <w:tblCellMar>
            <w:top w:w="0" w:type="dxa"/>
            <w:left w:w="0" w:type="dxa"/>
            <w:bottom w:w="0" w:type="dxa"/>
            <w:right w:w="0" w:type="dxa"/>
          </w:tblCellMar>
        </w:tblPrEx>
        <w:trPr>
          <w:trHeight w:val="37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440"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7</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广告行为检查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0"/>
                <w:szCs w:val="20"/>
                <w:u w:val="none"/>
                <w:lang w:val="en-US" w:eastAsia="zh-CN" w:bidi="ar"/>
              </w:rPr>
              <w:t>药品、医疗器械、保健食品、特殊医学用途配方食品广告主发布相关广告的审查批准情况的检查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企业、个体工商户及其它经营单位</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《广告法》第四十六条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《食品安全法》第七十九条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《药品管理法》第五十九条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《医疗器械监督管理条例》第四十五条</w:t>
            </w:r>
          </w:p>
        </w:tc>
      </w:tr>
      <w:tr>
        <w:tblPrEx>
          <w:tblCellMar>
            <w:top w:w="0" w:type="dxa"/>
            <w:left w:w="0" w:type="dxa"/>
            <w:bottom w:w="0" w:type="dxa"/>
            <w:right w:w="0" w:type="dxa"/>
          </w:tblCellMar>
        </w:tblPrEx>
        <w:trPr>
          <w:trHeight w:val="36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0"/>
                <w:szCs w:val="20"/>
                <w:u w:val="none"/>
                <w:lang w:val="en-US" w:eastAsia="zh-CN" w:bidi="ar"/>
              </w:rPr>
              <w:t>广告经营者、广告发布者建立、健全广告业务的承接登记、审核、档案管理制度情况的检查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企业、个体工商户及其它经营单位</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《广告法》第三十四条、第六十一条</w:t>
            </w:r>
          </w:p>
        </w:tc>
      </w:tr>
      <w:tr>
        <w:tblPrEx>
          <w:tblCellMar>
            <w:top w:w="0" w:type="dxa"/>
            <w:left w:w="0" w:type="dxa"/>
            <w:bottom w:w="0" w:type="dxa"/>
            <w:right w:w="0" w:type="dxa"/>
          </w:tblCellMar>
        </w:tblPrEx>
        <w:trPr>
          <w:trHeight w:val="779"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388"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8</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产品质量监督抽查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生产领域产品质量监督抽查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生产企业</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《产品质量法》第十五条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《产品质量监督抽查管理办法》第二条、第六条、第十二条、第十七条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《食品安全法》第一百一十条</w:t>
            </w:r>
          </w:p>
        </w:tc>
      </w:tr>
      <w:tr>
        <w:tblPrEx>
          <w:tblCellMar>
            <w:top w:w="0" w:type="dxa"/>
            <w:left w:w="0" w:type="dxa"/>
            <w:bottom w:w="0" w:type="dxa"/>
            <w:right w:w="0" w:type="dxa"/>
          </w:tblCellMar>
        </w:tblPrEx>
        <w:trPr>
          <w:trHeight w:val="108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食品相关产品质量安全监督检查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获证企业</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《产品质量法》第十五条</w:t>
            </w:r>
          </w:p>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《工业产品生产许可证管理条例》第三十六条、三十八条、三十九条</w:t>
            </w:r>
          </w:p>
        </w:tc>
      </w:tr>
      <w:tr>
        <w:tblPrEx>
          <w:tblCellMar>
            <w:top w:w="0" w:type="dxa"/>
            <w:left w:w="0" w:type="dxa"/>
            <w:bottom w:w="0" w:type="dxa"/>
            <w:right w:w="0" w:type="dxa"/>
          </w:tblCellMar>
        </w:tblPrEx>
        <w:trPr>
          <w:trHeight w:val="930"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9</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工业产品生产许可证产品生产企业检查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工业产品生产许可资格检查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《工业产品生产许可证管理条例》第三十六条、三十八条、三十九条</w:t>
            </w:r>
          </w:p>
        </w:tc>
      </w:tr>
      <w:tr>
        <w:tblPrEx>
          <w:tblCellMar>
            <w:top w:w="0" w:type="dxa"/>
            <w:left w:w="0" w:type="dxa"/>
            <w:bottom w:w="0" w:type="dxa"/>
            <w:right w:w="0" w:type="dxa"/>
          </w:tblCellMar>
        </w:tblPrEx>
        <w:trPr>
          <w:trHeight w:val="278"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工业产品生产许可证获证企业条件检查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8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10</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食品生产监督检查</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获证食品生产企业</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《食品安全法》第一百一十条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w:t>
            </w:r>
          </w:p>
        </w:tc>
      </w:tr>
      <w:tr>
        <w:tblPrEx>
          <w:tblCellMar>
            <w:top w:w="0" w:type="dxa"/>
            <w:left w:w="0" w:type="dxa"/>
            <w:bottom w:w="0" w:type="dxa"/>
            <w:right w:w="0" w:type="dxa"/>
          </w:tblCellMar>
        </w:tblPrEx>
        <w:trPr>
          <w:trHeight w:val="46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11</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食品销售监督检查</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校园食品销售监督检查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校园及校园周边食品销售者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 第一百一十条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w:t>
            </w:r>
          </w:p>
        </w:tc>
      </w:tr>
      <w:tr>
        <w:tblPrEx>
          <w:tblCellMar>
            <w:top w:w="0" w:type="dxa"/>
            <w:left w:w="0" w:type="dxa"/>
            <w:bottom w:w="0" w:type="dxa"/>
            <w:right w:w="0" w:type="dxa"/>
          </w:tblCellMar>
        </w:tblPrEx>
        <w:trPr>
          <w:trHeight w:val="45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高风险食品销售监督检查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风险等级为B、C、D级的食品销售者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8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一般风险食品销售监督检查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风险等级为A级的食品销售者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7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网络食品销售监督检查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网络食品交易第三方平台、入网食品销售者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现场检查、书面检查、网络检查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35"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12</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餐饮服务监督检查</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食品经营许可情况的检查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w:t>
            </w:r>
          </w:p>
        </w:tc>
      </w:tr>
      <w:tr>
        <w:tblPrEx>
          <w:tblCellMar>
            <w:top w:w="0" w:type="dxa"/>
            <w:left w:w="0" w:type="dxa"/>
            <w:bottom w:w="0" w:type="dxa"/>
            <w:right w:w="0" w:type="dxa"/>
          </w:tblCellMar>
        </w:tblPrEx>
        <w:trPr>
          <w:trHeight w:val="69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3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原料控制（含食品添加剂）情况的检查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5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加工制作过程的检查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9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79"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供餐、用餐与配送情况的检查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餐饮具清洗消毒情况的检查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3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场所和设施清洁维护情况的检查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9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5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食品安全管理情况的检查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99"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9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人员管理情况的检查</w:t>
            </w:r>
          </w:p>
        </w:tc>
        <w:tc>
          <w:tcPr>
            <w:tcW w:w="118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7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8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网络餐饮服务情况的检查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入网餐饮服务提供者、网络餐饮服务第三方平台</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网络检查、现场检查、书面检查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《网络餐饮服务食品安全监督管理办法》</w:t>
            </w:r>
          </w:p>
        </w:tc>
      </w:tr>
      <w:tr>
        <w:tblPrEx>
          <w:tblCellMar>
            <w:top w:w="0" w:type="dxa"/>
            <w:left w:w="0" w:type="dxa"/>
            <w:bottom w:w="0" w:type="dxa"/>
            <w:right w:w="0" w:type="dxa"/>
          </w:tblCellMar>
        </w:tblPrEx>
        <w:trPr>
          <w:trHeight w:val="1275"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13</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食用农产品市场销售质量安全检查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食用农产品集中交易市场监督检查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食用农产品集中交易市场（含批发市场和农贸市场）</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现场检查、抽样检测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《食用农产品市场销售质量安全监督管理办法》</w:t>
            </w:r>
          </w:p>
        </w:tc>
      </w:tr>
      <w:tr>
        <w:tblPrEx>
          <w:tblCellMar>
            <w:top w:w="0" w:type="dxa"/>
            <w:left w:w="0" w:type="dxa"/>
            <w:bottom w:w="0" w:type="dxa"/>
            <w:right w:w="0" w:type="dxa"/>
          </w:tblCellMar>
        </w:tblPrEx>
        <w:trPr>
          <w:trHeight w:val="73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食用农产品销售企业（者）监督检查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食用农产品销售企业（含批发企业和零售企业）、其他销售者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现场检查、抽样检测</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3"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14</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特殊食品销售监督检查</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婴幼儿配方食品销售监督检查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婴幼儿配方食品销售者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《食品安全法》第一百零九条、第一百一十条、第一百一十三条、第一百一十四条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《乳品质量安全监督管理条例》第四十六条、第四十八条、第五十条等</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《食品生产经营日常监督检查管理办法》第九条</w:t>
            </w:r>
          </w:p>
        </w:tc>
      </w:tr>
      <w:tr>
        <w:tblPrEx>
          <w:tblCellMar>
            <w:top w:w="0" w:type="dxa"/>
            <w:left w:w="0" w:type="dxa"/>
            <w:bottom w:w="0" w:type="dxa"/>
            <w:right w:w="0" w:type="dxa"/>
          </w:tblCellMar>
        </w:tblPrEx>
        <w:trPr>
          <w:trHeight w:val="464"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5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313"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特殊医学用途配方食品销售监督检查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特殊医学用途配方食品销售者</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《食品安全法》第一百零九条、第一百一十条、第一百一十三条、第一百一十四条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《食品生产经营日常监督检查管理办法》第九条</w:t>
            </w:r>
          </w:p>
        </w:tc>
      </w:tr>
      <w:tr>
        <w:tblPrEx>
          <w:tblCellMar>
            <w:top w:w="0" w:type="dxa"/>
            <w:left w:w="0" w:type="dxa"/>
            <w:bottom w:w="0" w:type="dxa"/>
            <w:right w:w="0" w:type="dxa"/>
          </w:tblCellMar>
        </w:tblPrEx>
        <w:trPr>
          <w:trHeight w:val="79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保健食品销售监督检查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保健食品销售者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《食品安全法》第一百零九条、第一百一十条、第一百一十三条、第一百一十四条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《食品生产经营日常监督检查管理办法》第九条</w:t>
            </w:r>
          </w:p>
        </w:tc>
      </w:tr>
      <w:tr>
        <w:tblPrEx>
          <w:tblCellMar>
            <w:top w:w="0" w:type="dxa"/>
            <w:left w:w="0" w:type="dxa"/>
            <w:bottom w:w="0" w:type="dxa"/>
            <w:right w:w="0" w:type="dxa"/>
          </w:tblCellMar>
        </w:tblPrEx>
        <w:trPr>
          <w:trHeight w:val="45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160"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15</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食品安全监督抽检</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食品安全监督抽检</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市场在售食品</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抽样检验</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《食品安全法》第八十七条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《食品安全抽样检验管理办法》</w:t>
            </w:r>
          </w:p>
        </w:tc>
      </w:tr>
      <w:tr>
        <w:tblPrEx>
          <w:tblCellMar>
            <w:top w:w="0" w:type="dxa"/>
            <w:left w:w="0" w:type="dxa"/>
            <w:bottom w:w="0" w:type="dxa"/>
            <w:right w:w="0" w:type="dxa"/>
          </w:tblCellMar>
        </w:tblPrEx>
        <w:trPr>
          <w:trHeight w:val="343"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trPr>
        <w:tc>
          <w:tcPr>
            <w:tcW w:w="48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16</w:t>
            </w:r>
          </w:p>
        </w:tc>
        <w:tc>
          <w:tcPr>
            <w:tcW w:w="101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特种设备监督检查</w:t>
            </w:r>
          </w:p>
        </w:tc>
        <w:tc>
          <w:tcPr>
            <w:tcW w:w="9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特种设备证后监督检查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市局许可的特种设备生产、充装单位</w:t>
            </w:r>
          </w:p>
        </w:tc>
        <w:tc>
          <w:tcPr>
            <w:tcW w:w="15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重点检查事项</w:t>
            </w:r>
          </w:p>
        </w:tc>
        <w:tc>
          <w:tcPr>
            <w:tcW w:w="12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现场检查、书面检查</w:t>
            </w:r>
          </w:p>
        </w:tc>
        <w:tc>
          <w:tcPr>
            <w:tcW w:w="14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市级市场监管部门</w:t>
            </w:r>
          </w:p>
        </w:tc>
        <w:tc>
          <w:tcPr>
            <w:tcW w:w="643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《特种设备安全监督检查办法》（总局令第57号）</w:t>
            </w:r>
          </w:p>
        </w:tc>
      </w:tr>
      <w:tr>
        <w:tblPrEx>
          <w:tblCellMar>
            <w:top w:w="0" w:type="dxa"/>
            <w:left w:w="0" w:type="dxa"/>
            <w:bottom w:w="0" w:type="dxa"/>
            <w:right w:w="0" w:type="dxa"/>
          </w:tblCellMar>
        </w:tblPrEx>
        <w:trPr>
          <w:trHeight w:val="312" w:hRule="atLeast"/>
        </w:trPr>
        <w:tc>
          <w:tcPr>
            <w:tcW w:w="481"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016" w:type="dxa"/>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9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特种设备常规监督检查和重点单位检查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特种设备生产单位、充装单位；特种设备使用单位</w:t>
            </w:r>
          </w:p>
        </w:tc>
        <w:tc>
          <w:tcPr>
            <w:tcW w:w="15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重点检查事项</w:t>
            </w:r>
          </w:p>
        </w:tc>
        <w:tc>
          <w:tcPr>
            <w:tcW w:w="12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现场检查、书面检查</w:t>
            </w:r>
          </w:p>
        </w:tc>
        <w:tc>
          <w:tcPr>
            <w:tcW w:w="14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县级市场监管部门</w:t>
            </w:r>
          </w:p>
        </w:tc>
        <w:tc>
          <w:tcPr>
            <w:tcW w:w="6435" w:type="dxa"/>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9"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17</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计量监督检查</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在用计量器具监督检查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企业、事业单位、个体工商户及其他经营者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现场检查、抽样检测</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《集贸市场计量监督管理办法》第八条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《加油站计量监督管理办法》第六条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《眼镜制配计量监督管理办法》第七条</w:t>
            </w:r>
          </w:p>
        </w:tc>
      </w:tr>
      <w:tr>
        <w:tblPrEx>
          <w:tblCellMar>
            <w:top w:w="0" w:type="dxa"/>
            <w:left w:w="0" w:type="dxa"/>
            <w:bottom w:w="0" w:type="dxa"/>
            <w:right w:w="0" w:type="dxa"/>
          </w:tblCellMar>
        </w:tblPrEx>
        <w:trPr>
          <w:trHeight w:val="579"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法定计量检定机构专项监督检查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法定计量检定机构</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《计量法实施细则》第二十八条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《法定计量检定机构监督管理办法》第十五、十六条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3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0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计量单位使用情况专项监督检查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宣传出版、文化教育、市场交易等领域</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《全面推行我国法定计量单位的意见》</w:t>
            </w:r>
          </w:p>
        </w:tc>
      </w:tr>
      <w:tr>
        <w:tblPrEx>
          <w:tblCellMar>
            <w:top w:w="0" w:type="dxa"/>
            <w:left w:w="0" w:type="dxa"/>
            <w:bottom w:w="0" w:type="dxa"/>
            <w:right w:w="0" w:type="dxa"/>
          </w:tblCellMar>
        </w:tblPrEx>
        <w:trPr>
          <w:trHeight w:val="278"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定量包装商品净含量国家计量监督专项抽查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企业、个体工商户及其他经营者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抽样检测</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《定量包装商品计量监督管理办法》</w:t>
            </w: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8"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型式批准监督检查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企业、事业单位、个体工商户及其他经营者</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现场检查、抽样检测</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《计量法实施细则》第十八、二十条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《计量器具新产品管理办法》第十八条</w:t>
            </w:r>
          </w:p>
        </w:tc>
      </w:tr>
      <w:tr>
        <w:tblPrEx>
          <w:tblCellMar>
            <w:top w:w="0" w:type="dxa"/>
            <w:left w:w="0" w:type="dxa"/>
            <w:bottom w:w="0" w:type="dxa"/>
            <w:right w:w="0" w:type="dxa"/>
          </w:tblCellMar>
        </w:tblPrEx>
        <w:trPr>
          <w:trHeight w:val="399"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3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0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能效标识计量专项监督检查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抽样检测</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《节约能源法》第七十三条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《能源计量监督管理办法》第十六条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《能源效率标识管理办法》第十八条</w:t>
            </w:r>
          </w:p>
        </w:tc>
      </w:tr>
      <w:tr>
        <w:tblPrEx>
          <w:tblCellMar>
            <w:top w:w="0" w:type="dxa"/>
            <w:left w:w="0" w:type="dxa"/>
            <w:bottom w:w="0" w:type="dxa"/>
            <w:right w:w="0" w:type="dxa"/>
          </w:tblCellMar>
        </w:tblPrEx>
        <w:trPr>
          <w:trHeight w:val="508"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水效标识计量专项监督检查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抽样检测</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《水效标识管理办法》第十七条</w:t>
            </w:r>
          </w:p>
        </w:tc>
      </w:tr>
      <w:tr>
        <w:tblPrEx>
          <w:tblCellMar>
            <w:top w:w="0" w:type="dxa"/>
            <w:left w:w="0" w:type="dxa"/>
            <w:bottom w:w="0" w:type="dxa"/>
            <w:right w:w="0" w:type="dxa"/>
          </w:tblCellMar>
        </w:tblPrEx>
        <w:trPr>
          <w:trHeight w:val="68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3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highlight w:val="yellow"/>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highlight w:val="yellow"/>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highlight w:val="yellow"/>
                <w:u w:val="none"/>
              </w:rPr>
            </w:pPr>
          </w:p>
        </w:tc>
      </w:tr>
      <w:tr>
        <w:tblPrEx>
          <w:tblCellMar>
            <w:top w:w="0" w:type="dxa"/>
            <w:left w:w="0" w:type="dxa"/>
            <w:bottom w:w="0" w:type="dxa"/>
            <w:right w:w="0" w:type="dxa"/>
          </w:tblCellMar>
        </w:tblPrEx>
        <w:trPr>
          <w:trHeight w:val="74"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5"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5"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54"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trPr>
        <w:tc>
          <w:tcPr>
            <w:tcW w:w="481"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5" w:hRule="atLeast"/>
        </w:trPr>
        <w:tc>
          <w:tcPr>
            <w:tcW w:w="481"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rPr>
            </w:pPr>
            <w:r>
              <w:rPr>
                <w:rFonts w:hint="eastAsia" w:ascii="仿宋_GB2312" w:hAnsi="宋体" w:eastAsia="仿宋_GB2312" w:cs="仿宋_GB2312"/>
                <w:i w:val="0"/>
                <w:color w:val="000000"/>
                <w:kern w:val="0"/>
                <w:sz w:val="22"/>
                <w:szCs w:val="22"/>
                <w:highlight w:val="none"/>
                <w:u w:val="none"/>
                <w:lang w:val="en-US" w:eastAsia="zh-CN" w:bidi="ar"/>
              </w:rPr>
              <w:t>18</w:t>
            </w:r>
          </w:p>
        </w:tc>
        <w:tc>
          <w:tcPr>
            <w:tcW w:w="101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检验检测机构检查</w:t>
            </w:r>
          </w:p>
        </w:tc>
        <w:tc>
          <w:tcPr>
            <w:tcW w:w="94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检验检测机构检查</w:t>
            </w:r>
          </w:p>
        </w:tc>
        <w:tc>
          <w:tcPr>
            <w:tcW w:w="118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检验检测机构</w:t>
            </w:r>
          </w:p>
        </w:tc>
        <w:tc>
          <w:tcPr>
            <w:tcW w:w="151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一般检查事项</w:t>
            </w:r>
          </w:p>
        </w:tc>
        <w:tc>
          <w:tcPr>
            <w:tcW w:w="12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现场检查、书面检查</w:t>
            </w:r>
          </w:p>
        </w:tc>
        <w:tc>
          <w:tcPr>
            <w:tcW w:w="14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县级以上市场监管部门</w:t>
            </w:r>
          </w:p>
        </w:tc>
        <w:tc>
          <w:tcPr>
            <w:tcW w:w="643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《计量法》第二十二条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《中华人民共和国计量法实施细则》第二十九条至第三十二条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《产品质量法》第十九条 、第五十七条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《检验检测机构资质认定管理办法》第三十条至第三十七条</w:t>
            </w:r>
          </w:p>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《检验检测机构监督管理办法》</w:t>
            </w:r>
          </w:p>
        </w:tc>
      </w:tr>
      <w:tr>
        <w:tblPrEx>
          <w:tblCellMar>
            <w:top w:w="0" w:type="dxa"/>
            <w:left w:w="0" w:type="dxa"/>
            <w:bottom w:w="0" w:type="dxa"/>
            <w:right w:w="0" w:type="dxa"/>
          </w:tblCellMar>
        </w:tblPrEx>
        <w:trPr>
          <w:trHeight w:val="735" w:hRule="atLeast"/>
        </w:trPr>
        <w:tc>
          <w:tcPr>
            <w:tcW w:w="481" w:type="dxa"/>
            <w:vMerge w:val="restart"/>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bidi="ar"/>
              </w:rPr>
              <w:t>19</w:t>
            </w:r>
          </w:p>
        </w:tc>
        <w:tc>
          <w:tcPr>
            <w:tcW w:w="1016" w:type="dxa"/>
            <w:vMerge w:val="restart"/>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市场类标准监督检查</w:t>
            </w:r>
          </w:p>
        </w:tc>
        <w:tc>
          <w:tcPr>
            <w:tcW w:w="945"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企业标准自我声明监督检查</w:t>
            </w:r>
          </w:p>
        </w:tc>
        <w:tc>
          <w:tcPr>
            <w:tcW w:w="1185"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全市范围内在企业标准信息公共服务平台上自我声明公开的现行有效的企业标准</w:t>
            </w:r>
          </w:p>
        </w:tc>
        <w:tc>
          <w:tcPr>
            <w:tcW w:w="1515"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一般检查事项</w:t>
            </w:r>
          </w:p>
        </w:tc>
        <w:tc>
          <w:tcPr>
            <w:tcW w:w="129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网络检查、专业机构审查</w:t>
            </w:r>
          </w:p>
        </w:tc>
        <w:tc>
          <w:tcPr>
            <w:tcW w:w="1470"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县级以上市场监管部门</w:t>
            </w:r>
          </w:p>
        </w:tc>
        <w:tc>
          <w:tcPr>
            <w:tcW w:w="6435"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《标准化法》第二十七条、第三十八条、第三十九条、第四十二条</w:t>
            </w:r>
          </w:p>
        </w:tc>
      </w:tr>
      <w:tr>
        <w:tblPrEx>
          <w:tblCellMar>
            <w:top w:w="0" w:type="dxa"/>
            <w:left w:w="0" w:type="dxa"/>
            <w:bottom w:w="0" w:type="dxa"/>
            <w:right w:w="0" w:type="dxa"/>
          </w:tblCellMar>
        </w:tblPrEx>
        <w:trPr>
          <w:trHeight w:val="1231"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团体标准自我声明监督检查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全市范围内在全国团体标准信息平台上自我声明公开的现行有效的团体标准</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网络检查、专业机构审查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《标准化法》第二十七条、第三十九条、第四十二条</w:t>
            </w:r>
          </w:p>
        </w:tc>
      </w:tr>
      <w:tr>
        <w:tblPrEx>
          <w:tblCellMar>
            <w:top w:w="0" w:type="dxa"/>
            <w:left w:w="0" w:type="dxa"/>
            <w:bottom w:w="0" w:type="dxa"/>
            <w:right w:w="0" w:type="dxa"/>
          </w:tblCellMar>
        </w:tblPrEx>
        <w:trPr>
          <w:trHeight w:val="995"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bidi="ar"/>
              </w:rPr>
              <w:t>20</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专利真实性监督检查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专利证书、专利文件或专利申请文件真实性的检查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各类市场主体、产品</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《专利法》 第六十</w:t>
            </w:r>
            <w:r>
              <w:rPr>
                <w:rFonts w:hint="eastAsia" w:ascii="仿宋_GB2312" w:hAnsi="宋体" w:eastAsia="仿宋_GB2312" w:cs="仿宋_GB2312"/>
                <w:i w:val="0"/>
                <w:color w:val="000000"/>
                <w:kern w:val="0"/>
                <w:sz w:val="22"/>
                <w:szCs w:val="22"/>
                <w:u w:val="none"/>
                <w:lang w:val="en-US" w:eastAsia="zh-CN" w:bidi="ar"/>
              </w:rPr>
              <w:t>八</w:t>
            </w:r>
            <w:r>
              <w:rPr>
                <w:rFonts w:hint="default" w:ascii="仿宋_GB2312" w:hAnsi="宋体" w:eastAsia="仿宋_GB2312" w:cs="仿宋_GB2312"/>
                <w:i w:val="0"/>
                <w:color w:val="000000"/>
                <w:kern w:val="0"/>
                <w:sz w:val="22"/>
                <w:szCs w:val="22"/>
                <w:u w:val="none"/>
                <w:lang w:val="en-US" w:eastAsia="zh-CN" w:bidi="ar"/>
              </w:rPr>
              <w:t>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《专利法实施细则》 第八十四条</w:t>
            </w:r>
          </w:p>
        </w:tc>
      </w:tr>
      <w:tr>
        <w:tblPrEx>
          <w:tblCellMar>
            <w:top w:w="0" w:type="dxa"/>
            <w:left w:w="0" w:type="dxa"/>
            <w:bottom w:w="0" w:type="dxa"/>
            <w:right w:w="0" w:type="dxa"/>
          </w:tblCellMar>
        </w:tblPrEx>
        <w:trPr>
          <w:trHeight w:val="523"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产品专利宣传真实性的检查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各类市场主体</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7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13" w:hRule="atLeast"/>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bidi="ar"/>
              </w:rPr>
              <w:t>21</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商标使用行为的检查</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商标使用行为的检查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现场抽查、书面检查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《商标法》第六条、第十条、第十四条第五款、第四十三条第二款、第四十九条第一款、第五十一条、第五十二条、第五十三条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《商标法实施条例》第七十一条</w:t>
            </w:r>
          </w:p>
        </w:tc>
      </w:tr>
      <w:tr>
        <w:tblPrEx>
          <w:tblCellMar>
            <w:top w:w="0" w:type="dxa"/>
            <w:left w:w="0" w:type="dxa"/>
            <w:bottom w:w="0" w:type="dxa"/>
            <w:right w:w="0" w:type="dxa"/>
          </w:tblCellMar>
        </w:tblPrEx>
        <w:trPr>
          <w:trHeight w:val="626"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10"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集体商标、证明商标（含地理标志）使用行为的检查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现场抽查、书面检查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《商标法》第十六条 </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《商标法实施条例》第四条 </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《集体商标、证明商标注册和管理办法》第十七条、第十八条、第十九条、第二十条、第二十一条、第二十二条</w:t>
            </w:r>
          </w:p>
        </w:tc>
      </w:tr>
      <w:tr>
        <w:tblPrEx>
          <w:tblCellMar>
            <w:top w:w="0" w:type="dxa"/>
            <w:left w:w="0" w:type="dxa"/>
            <w:bottom w:w="0" w:type="dxa"/>
            <w:right w:w="0" w:type="dxa"/>
          </w:tblCellMar>
        </w:tblPrEx>
        <w:trPr>
          <w:trHeight w:val="567"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商标印制行为的检查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现场抽查、书面检查</w:t>
            </w:r>
          </w:p>
        </w:tc>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《商标印制管理办法》第三条、第四条、第五条、第六条、第七条、第八条、第九条、第十条、第十一条、第十二条、第十三条</w:t>
            </w:r>
          </w:p>
        </w:tc>
      </w:tr>
      <w:tr>
        <w:tblPrEx>
          <w:tblCellMar>
            <w:top w:w="0" w:type="dxa"/>
            <w:left w:w="0" w:type="dxa"/>
            <w:bottom w:w="0" w:type="dxa"/>
            <w:right w:w="0" w:type="dxa"/>
          </w:tblCellMar>
        </w:tblPrEx>
        <w:trPr>
          <w:trHeight w:val="1095" w:hRule="atLeast"/>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95" w:hRule="atLeast"/>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22</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eastAsia="zh-CN" w:bidi="ar"/>
              </w:rPr>
              <w:t>地理标志保护产品专用标志使用行为的检查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eastAsia="zh-CN" w:bidi="ar"/>
              </w:rPr>
              <w:t>地理标志保护产品专用标志使用行为的检查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各类市场主体</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sz w:val="24"/>
                <w:szCs w:val="24"/>
                <w:u w:val="none"/>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_GB2312" w:hAnsi="宋体" w:eastAsia="仿宋_GB2312" w:cs="仿宋_GB2312"/>
                <w:i w:val="0"/>
                <w:color w:val="000000"/>
                <w:kern w:val="0"/>
                <w:sz w:val="22"/>
                <w:szCs w:val="22"/>
                <w:u w:val="none"/>
                <w:lang w:eastAsia="zh-CN" w:bidi="ar"/>
              </w:rPr>
            </w:pPr>
            <w:r>
              <w:rPr>
                <w:rFonts w:hint="default" w:ascii="仿宋_GB2312" w:hAnsi="宋体" w:eastAsia="仿宋_GB2312" w:cs="仿宋_GB2312"/>
                <w:i w:val="0"/>
                <w:color w:val="000000"/>
                <w:kern w:val="0"/>
                <w:sz w:val="22"/>
                <w:szCs w:val="22"/>
                <w:u w:val="none"/>
                <w:lang w:eastAsia="zh-CN" w:bidi="ar"/>
              </w:rPr>
              <w:t>《产品质量法》第三十一条、第三十八条、第五十三条</w:t>
            </w:r>
          </w:p>
          <w:p>
            <w:pPr>
              <w:rPr>
                <w:rFonts w:hint="default" w:ascii="仿宋_GB2312" w:hAnsi="宋体" w:eastAsia="仿宋_GB2312" w:cs="仿宋_GB2312"/>
                <w:i w:val="0"/>
                <w:color w:val="000000"/>
                <w:kern w:val="0"/>
                <w:sz w:val="22"/>
                <w:szCs w:val="22"/>
                <w:u w:val="none"/>
                <w:lang w:eastAsia="zh-CN" w:bidi="ar"/>
              </w:rPr>
            </w:pPr>
            <w:r>
              <w:rPr>
                <w:rFonts w:hint="default" w:ascii="仿宋_GB2312" w:hAnsi="宋体" w:eastAsia="仿宋_GB2312" w:cs="仿宋_GB2312"/>
                <w:i w:val="0"/>
                <w:color w:val="000000"/>
                <w:kern w:val="0"/>
                <w:sz w:val="22"/>
                <w:szCs w:val="22"/>
                <w:u w:val="none"/>
                <w:lang w:eastAsia="zh-CN" w:bidi="ar"/>
              </w:rPr>
              <w:t>《地理标志专用标志使用管理办法》第六条、第十条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eastAsia="zh-CN" w:bidi="ar"/>
              </w:rPr>
              <w:t>《地理标志产品保护规定》第二十一条</w:t>
            </w:r>
          </w:p>
        </w:tc>
      </w:tr>
      <w:tr>
        <w:tblPrEx>
          <w:tblCellMar>
            <w:top w:w="0" w:type="dxa"/>
            <w:left w:w="0" w:type="dxa"/>
            <w:bottom w:w="0" w:type="dxa"/>
            <w:right w:w="0" w:type="dxa"/>
          </w:tblCellMar>
        </w:tblPrEx>
        <w:trPr>
          <w:trHeight w:val="1095" w:hRule="atLeast"/>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bidi="ar"/>
              </w:rPr>
              <w:t>23</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商标代理行为的检查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商标代理行为的检查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经市场监管部门登记从事商标代理业务的服务机构（所）</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现场抽查、书面检查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《商标法》第六十八条</w:t>
            </w:r>
          </w:p>
          <w:p>
            <w:pPr>
              <w:keepNext w:val="0"/>
              <w:keepLines w:val="0"/>
              <w:widowControl/>
              <w:suppressLineNumbers w:val="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《商标法实施条例》第八十八条、第八十九条</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《商标代理监督管理规定》第二十四至三十六条</w:t>
            </w:r>
          </w:p>
        </w:tc>
      </w:tr>
      <w:tr>
        <w:tblPrEx>
          <w:tblCellMar>
            <w:top w:w="0" w:type="dxa"/>
            <w:left w:w="0" w:type="dxa"/>
            <w:bottom w:w="0" w:type="dxa"/>
            <w:right w:w="0" w:type="dxa"/>
          </w:tblCellMar>
        </w:tblPrEx>
        <w:trPr>
          <w:trHeight w:val="1095" w:hRule="atLeast"/>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24</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sz w:val="24"/>
              </w:rPr>
              <w:t>（非生产企业类）化妆品注册人备案人化妆品经营情况的检查</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sz w:val="24"/>
                <w:lang w:eastAsia="zh-CN"/>
              </w:rPr>
              <w:t>对《化妆品监督管理条例》《化妆品生产经营监督管理办法》执行情况的检查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非生产类化妆品注册人、备案人</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等线" w:eastAsia="仿宋_GB2312" w:cs="仿宋_GB2312"/>
                <w:color w:val="000000"/>
                <w:sz w:val="24"/>
              </w:rPr>
              <w:t>重点检查事项</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等线" w:eastAsia="仿宋_GB2312" w:cs="仿宋_GB2312"/>
                <w:color w:val="000000"/>
                <w:sz w:val="24"/>
              </w:rPr>
              <w:t>现场检查</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color w:val="000000"/>
                <w:sz w:val="24"/>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《化妆品监督管理条例》《化妆品生产经营监督管理办法》相关条款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ZmVjNGI2OWQyYzUzZDgyZGRiMzA3OGU2ZGViNDEifQ=="/>
  </w:docVars>
  <w:rsids>
    <w:rsidRoot w:val="74165AB3"/>
    <w:rsid w:val="00D70C84"/>
    <w:rsid w:val="05DC17A0"/>
    <w:rsid w:val="2D8C6778"/>
    <w:rsid w:val="41DF6ABC"/>
    <w:rsid w:val="6BAD1350"/>
    <w:rsid w:val="72B762F8"/>
    <w:rsid w:val="7416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Body Text"/>
    <w:basedOn w:val="1"/>
    <w:qFormat/>
    <w:uiPriority w:val="0"/>
    <w:pPr>
      <w:spacing w:line="240" w:lineRule="auto"/>
    </w:pPr>
    <w:rPr>
      <w:rFonts w:eastAsia="仿宋_GB2312" w:asciiTheme="minorAscii" w:hAnsiTheme="minorAscii"/>
      <w:color w:val="000000" w:themeColor="text1"/>
      <w14:textFill>
        <w14:solidFill>
          <w14:schemeClr w14:val="tx1"/>
        </w14:solidFill>
      </w14:textFill>
    </w:rPr>
  </w:style>
  <w:style w:type="paragraph" w:customStyle="1" w:styleId="7">
    <w:name w:val="BodyText"/>
    <w:basedOn w:val="1"/>
    <w:link w:val="8"/>
    <w:qFormat/>
    <w:uiPriority w:val="0"/>
    <w:pPr>
      <w:spacing w:line="360" w:lineRule="auto"/>
    </w:pPr>
    <w:rPr>
      <w:rFonts w:eastAsia="仿宋_GB2312" w:asciiTheme="minorAscii" w:hAnsiTheme="minorAscii"/>
      <w:color w:val="000000" w:themeColor="text1"/>
      <w14:textFill>
        <w14:solidFill>
          <w14:schemeClr w14:val="tx1"/>
        </w14:solidFill>
      </w14:textFill>
    </w:rPr>
  </w:style>
  <w:style w:type="character" w:customStyle="1" w:styleId="8">
    <w:name w:val="BodyText Char"/>
    <w:link w:val="7"/>
    <w:qFormat/>
    <w:uiPriority w:val="0"/>
    <w:rPr>
      <w:rFonts w:eastAsia="仿宋_GB2312" w:asciiTheme="minorAscii" w:hAnsiTheme="minorAscii"/>
      <w:color w:val="000000" w:themeColor="text1"/>
      <w14:textFill>
        <w14:solidFill>
          <w14:schemeClr w14:val="tx1"/>
        </w14:solidFill>
      </w14:textFill>
    </w:rPr>
  </w:style>
  <w:style w:type="paragraph" w:customStyle="1" w:styleId="9">
    <w:name w:val="BodyText1I"/>
    <w:basedOn w:val="7"/>
    <w:qFormat/>
    <w:uiPriority w:val="0"/>
    <w:pPr>
      <w:ind w:firstLine="0" w:firstLineChars="0"/>
      <w:jc w:val="left"/>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2023-04-18T02:21:00Z</dcterms:created>
  <dc:creator>毋果</dc:creator>
  <cp:lastModifiedBy>毋果</cp:lastModifiedBy>
  <dcterms:modified xsi:type="dcterms:W3CDTF">2023-04-18T02:23:04Z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D7A37D243F9A4B3FBC0FC9A77C7D96EF_11</vt:lpwstr>
  </property>
</Properties>
</file>