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01"/>
        <w:gridCol w:w="1365"/>
        <w:gridCol w:w="930"/>
        <w:gridCol w:w="3556"/>
        <w:gridCol w:w="434"/>
        <w:gridCol w:w="750"/>
        <w:gridCol w:w="720"/>
        <w:gridCol w:w="5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24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金水区民政局随机抽查事项清单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35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4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检查部门实施层级</w:t>
            </w:r>
          </w:p>
        </w:tc>
        <w:tc>
          <w:tcPr>
            <w:tcW w:w="5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郑州市金水区民政局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对社会团体遵守登记管理法规情况的检查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登记的社会团体</w:t>
            </w:r>
          </w:p>
        </w:tc>
        <w:tc>
          <w:tcPr>
            <w:tcW w:w="35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内部治理机制、章程制度建设和落实情况；2.业务活动和重大事项报告情况；3.财务核算和管理情况；4.资产管理和投资管理情况；5.信息公开情况；6.党建活动情况；7、社会团体涉企收费、集资融资、开展评比表彰达标和论坛活动等情况；8、遵守有关国家法律法规和政策的情况。</w:t>
            </w:r>
          </w:p>
        </w:tc>
        <w:tc>
          <w:tcPr>
            <w:tcW w:w="4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现场检查、财务审计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</w:t>
            </w:r>
          </w:p>
        </w:tc>
        <w:tc>
          <w:tcPr>
            <w:tcW w:w="52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"http://www.waizi.org.cn/law/9136.html" \o "http://www.waizi.org.cn/law/9136.html"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  <w:t>国务院《社会团体登记管理条例》（国务院令第250号，国务院令第666号修订）第二十四条；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       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  <w:t>国务院办公厅《关于推广随机抽查规范事中事后监管的通知》国办发〔2015〕58号第二条；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          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  <w:t>民政部《社会组织抽查暂行办法》（民发〔2017〕45号）第二条、第五条、第六条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郑州市金水区民政局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对民办非企业单位遵守登记管理法规情况的检查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登记的民办非企业单位</w:t>
            </w:r>
          </w:p>
        </w:tc>
        <w:tc>
          <w:tcPr>
            <w:tcW w:w="35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1.内部治理机制、章程制度建设和落实情况；2.业务活动和重大事项报告情况；3.财务核算和管理情况；4.资产管理和投资管理情况；5.信息公开情况；6.</w:t>
            </w:r>
            <w:r>
              <w:rPr>
                <w:rStyle w:val="5"/>
                <w:lang w:val="en-US" w:eastAsia="zh-CN" w:bidi="ar"/>
              </w:rPr>
              <w:t xml:space="preserve"> 党建活动情况；7、遵守有关国家法律法规和政策的情况。</w:t>
            </w:r>
          </w:p>
        </w:tc>
        <w:tc>
          <w:tcPr>
            <w:tcW w:w="4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现场检查、财务审计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</w:t>
            </w:r>
          </w:p>
        </w:tc>
        <w:tc>
          <w:tcPr>
            <w:tcW w:w="5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国务院《民办非企业单位登记管理暂行条例》（国务院令第251号）第十九条；                           国务院办公厅《关于推广随机抽查规范事中事后监管的通知》国办发〔2015〕58号第二条；                  民政部《社会组织抽查暂行办法》（民发〔2017〕45号）第二条、第五条、第六条。                    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填报人：李晓林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联系方式：58579015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WZhZTYwMWFlNWY2NzIxMzU4NDkxMDY5YjBkMmYifQ=="/>
  </w:docVars>
  <w:rsids>
    <w:rsidRoot w:val="55F620F9"/>
    <w:rsid w:val="04A20529"/>
    <w:rsid w:val="05BC7024"/>
    <w:rsid w:val="14AB52A9"/>
    <w:rsid w:val="380F0771"/>
    <w:rsid w:val="55F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607</Words>
  <Characters>641</Characters>
  <Lines>0</Lines>
  <Paragraphs>0</Paragraphs>
  <TotalTime>16</TotalTime>
  <ScaleCrop>false</ScaleCrop>
  <LinksUpToDate>false</LinksUpToDate>
  <CharactersWithSpaces>744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2022-03-18T02:50:00Z</dcterms:created>
  <dc:creator>Administrator</dc:creator>
  <cp:lastModifiedBy>Administrator</cp:lastModifiedBy>
  <cp:lastPrinted>2023-01-10T02:29:00Z</cp:lastPrinted>
  <dcterms:modified xsi:type="dcterms:W3CDTF">2023-04-07T08:16:27Z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EF5C68C4ECB0486C93A0202F446EC77E_13</vt:lpwstr>
  </property>
</Properties>
</file>