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both"/>
        <w:textAlignment w:val="auto"/>
        <w:outlineLvl w:val="9"/>
        <w:rPr>
          <w:rFonts w:hint="default" w:ascii="Times New Roman" w:hAnsi="Times New Roman" w:eastAsia="仿宋_GB2312" w:cs="Times New Roman"/>
          <w:color w:val="000000"/>
          <w:spacing w:val="0"/>
          <w:w w:val="100"/>
          <w:kern w:val="0"/>
          <w:sz w:val="32"/>
          <w:szCs w:val="32"/>
        </w:rPr>
      </w:pPr>
    </w:p>
    <w:p>
      <w:pPr>
        <w:widowControl/>
        <w:spacing w:line="60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金水区行政许可事项清单</w:t>
      </w:r>
    </w:p>
    <w:bookmarkEnd w:id="0"/>
    <w:p>
      <w:pPr>
        <w:widowControl/>
        <w:spacing w:line="600" w:lineRule="exact"/>
        <w:jc w:val="center"/>
        <w:rPr>
          <w:rFonts w:ascii="方正小标宋简体" w:hAnsi="Times New Roman" w:eastAsia="方正小标宋简体" w:cs="Times New Roman"/>
          <w:sz w:val="44"/>
          <w:szCs w:val="44"/>
        </w:rPr>
      </w:pPr>
    </w:p>
    <w:tbl>
      <w:tblPr>
        <w:tblStyle w:val="5"/>
        <w:tblW w:w="10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218"/>
        <w:gridCol w:w="227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620"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1218"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实施单位</w:t>
            </w:r>
          </w:p>
        </w:tc>
        <w:tc>
          <w:tcPr>
            <w:tcW w:w="2273"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事项名称</w:t>
            </w:r>
          </w:p>
        </w:tc>
        <w:tc>
          <w:tcPr>
            <w:tcW w:w="6379" w:type="dxa"/>
            <w:shd w:val="clear" w:color="auto" w:fill="auto"/>
            <w:vAlign w:val="center"/>
          </w:tcPr>
          <w:p>
            <w:pPr>
              <w:widowControl/>
              <w:jc w:val="center"/>
              <w:rPr>
                <w:rFonts w:ascii="Times New Roman" w:hAnsi="Times New Roman" w:eastAsia="黑体" w:cs="Times New Roman"/>
                <w:kern w:val="0"/>
                <w:sz w:val="22"/>
              </w:rPr>
            </w:pPr>
            <w:r>
              <w:rPr>
                <w:rFonts w:ascii="Times New Roman" w:hAnsi="Times New Roman" w:eastAsia="黑体" w:cs="Times New Roman"/>
                <w:kern w:val="0"/>
                <w:sz w:val="22"/>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区事登局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事业单位登记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《事业单位登记管理暂行条例》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区新闻出版局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出版物零售业务经营许可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区侨务办</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华侨回国定居审批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《中华人民共和国出境入境管理法》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《华侨回国定居办理工作规定》（国侨发〔2013〕18号）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《河南省人民政府外事侨务办公室 河南省公安厅关于印发〈华侨来豫定居办理工作暂行办法〉的通知》（豫外侨〔2014〕15号）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区发改委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固定资产投资项目节能审查</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《中华人民共和国节约能源法》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区工信局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在电力设施周围或者电力设施保护区内进行可能危及电力设施安全作业审批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《中华人民共和国电力法》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区发改委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新建不能满足管道保护要求的石油天然气管道防护方案审批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区发改委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可能影响石油天然气管道保护的施工作业审批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区教育局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中等及以下学校和其他教育机构设置审批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《中华人民共和国民办教育促进法实施条例》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《河南省人民政府办公厅关于印发省人民政府第三批取消和下放的行政审批事项的通知》（豫政办〔2001〕3号）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区教育局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从事文艺、体育等专业训练的社会组织自行实施义务教育审批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区教育局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校车使用许可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区教育局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教师资格认定</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《中华人民共和国教师法》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《教师资格条例》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区教育局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适龄儿童、少年因身体状况需要延缓入学或者休学审批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宗教活动场所筹备设立审批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宗教活动场所设立、变更、注销登记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宗教活动场所内改建或者新建建筑物许可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宗教临时活动地点审批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宗教团体、宗教院校、宗教活动场所接受境外捐赠审批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区城管局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犬类准养证核发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《郑州市城市养犬管理条例》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区民政局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社会团体成立、变更、注销登记及修改章程核准</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区民政局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民办非企业单位成立、变更、注销登记及修改章程核准</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区民政局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宗教活动场所法人成立、变更、注销登记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区民政局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慈善组织公开募捐资格审批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区人社局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职业培训学校筹设审批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《河南省人民政府关于向郑州市洛阳市和郑州航空港经济综合实验区下放部分省级经济社会管理权限的通知》（豫政〔2021〕9号）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区人社局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人力资源服务许可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《中华人民共和国就业促进法》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区人社局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劳务派遣经营许可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《劳务派遣行政许可实施办法》（人力资源社会保障部令第19号）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区人社局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企业实行不定时工作制和综合计算工时工作制审批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区住建局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建筑工程施工许可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《中华人民共和国建筑法》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《建筑工程施工许可管理办法》（住房城乡建设部令第18号公布，住房城乡建设部令第52号修正）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区城管局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关闭、闲置、拆除城市环境卫生设施许可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w:t>
            </w:r>
            <w:r>
              <w:rPr>
                <w:rFonts w:ascii="Times New Roman" w:hAnsi="Times New Roman" w:eastAsia="仿宋_GB2312" w:cs="Times New Roman"/>
                <w:kern w:val="0"/>
                <w:sz w:val="22"/>
              </w:rPr>
              <w:br w:type="textWrapping"/>
            </w:r>
            <w:r>
              <w:rPr>
                <w:rFonts w:ascii="Times New Roman" w:hAnsi="Times New Roman" w:eastAsia="仿宋_GB2312" w:cs="Times New Roman"/>
                <w:kern w:val="0"/>
                <w:sz w:val="22"/>
              </w:rPr>
              <w:t>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区城管局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市政设施建设类审批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区住建局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建设工程消防设计审查</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区住建局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建设工程消防验收</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区住建局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建筑起重机械使用登记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公路建设项目设计文件审批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公路建设项目施工许可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《公路建设市场管理办法》（交通部令2004年第14号公布，交通运输部令2015年第11号修正）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公路建设项目竣工验收</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《收费公路管理条例》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《公路工程竣（交）工验收办法》（交通部令2004年第3号）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涉路施工许可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更新采伐护路林审批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区交通局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道路货物运输经营许可（除使用4500千克及以下普通货运车辆从事普通货运经营外）</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《道路货物运输及站场管理规定》（交通部令2005年第6号公布，交通运输部令2019年第17号修正）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水利基建项目初步设计文件审批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取水许可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洪水影响评价类审批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河道管理范围内特定活动审批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河道采砂许可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《中华人民共和国长江保护法》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《河南省河道采砂管理办法》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生产建设项目水土保持方案审批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45</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农村集体经济组织修建水库审批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占用农业灌溉水源、灌排工程设施审批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蓄滞洪区避洪设施建设审批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48</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农药经营许可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兽药经营许可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《河南省人民代表大会常务委员会关于向郑州市洛阳市下放部分省级经济社会管理权限的决定》（2020年9月26日河南省第十三届人民代表大会常务委员会第二十次会议通过）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《河南省人民政府关于向郑州市洛阳市和郑州航空港经济综合实验区下放部分省级经济社会管理权限的通知》（豫政〔2021〕9号）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农作物种子生产经营许可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《转基因棉花种子生产经营许可规定》（农业部公告第2436号公布，农业农村部令2019年第2号修正）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《农作物种子生产经营许可管理办法》（农业部令2016年第5号）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区农委（部分为初审）</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食用菌菌种生产经营许可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《食用菌菌种管理办法》（农业部令2006年第62号公布，农业部令2015年第1号修正）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区农委（由区农委承办）</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使用低于国家或地方规定的种用标准的农作物种子审批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区农委（部分为初审）</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种畜禽生产经营许可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《中华人民共和国畜牧法》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《河南省人民政府办公厅关于转发河南省种畜禽生产经营许可证审核发放办法的通知》（豫政办〔2017〕150号）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区农委（初审）</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蚕种生产经营许可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《中华人民共和国畜牧法》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《蚕种管理办法》（农业部令2006年第68号）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农业植物检疫证书核发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农业植物产地检疫合格证签发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区农委(初审采集国家二级保护野生植物)</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农业野生植物采集、出售、收购、野外考察审批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区动监所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动物及动物产品检疫合格证核发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《动物检疫管理办法》（农业部令2010年第6号公布，农业农村部令2019年第2号修正）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动物防疫条件合格证核发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动物诊疗许可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《动物诊疗机构管理办法》（农业部令2008年第19号公布，农业部令2017年8号修正）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61</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生鲜乳收购站许可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生鲜乳准运证明核发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拖拉机和联合收割机驾驶证核发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拖拉机和联合收割机登记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区政府（农委受理申请）</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工商企业等社会资本通过流转取得土地经营权审批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区农委（部分为初审）</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猎捕国家重点保护水生野生动物审批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《中华人民共和国野生动物保护法》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区农委（初审部分事项）</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出售、购买、利用国家重点保护水生野生动物及其制品审批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《中华人民共和国野生动物保护法》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《国家林业局受理10种（类）陆生野生动物相关行政许可事项》（国家林业局公告2017年第14号）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区农委（初审部分事项）</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人工繁育国家重点保护水生野生动物审批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《中华人民共和国野生动物保护法》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《中华人民共和国水生野生动物利用特许办法》（农业部令1999年第15号公布，农业部令2017年第8号修正）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《国家林业局受理10种（类）陆生野生动物相关行政许可事项》（国家林业局公告2017年第14号）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渔业船舶船员证书核发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《中华人民共和国渔业船员管理办法》（农业部令2014年第4号公布，农业部令2017年第8号修正）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水产苗种生产经营审批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《水产苗种管理办法》（农业部令2005年第46号）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区政府（区农委承办）</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水域滩涂养殖证核发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区农委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渔业捕捞许可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《中华人民共和国渔业法实施细则》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73</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文艺表演团体设立审批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营业性演出审批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《营业性演出管理条例实施细则》（文化部令第47号公布，文化部令第57号修正）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75</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娱乐场所经营活动审批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互联网上网服务营业场所筹建审批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互联网上网服务经营活动审批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广播电视专用频段频率使用许可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《广播电视无线传输覆盖网管理办法》（国家广播电影电视总局令第45号）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举办健身气功活动及设立站点审批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《国务院关于第五批取消和下放管理层级行政审批项目的决定》（国发〔2010〕21号）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高危险性体育项目经营许可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《国务院关于取消和下放一批行政审批项目等事项的决定》（国发〔2013〕19号）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《郑州市人民政府关于取消调整下放部分行政权责事项进一步简政放权的通知》（郑政文 〔2015 〕 118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81</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临时占用公共体育设施审批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建设工程文物保护许可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《河南省人民政府关于向郑州市洛阳市和郑州航空港经济综合实验区下放部分省级经济社会管理权限的通知》（豫政〔2021〕9号）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《中共河南省委办公厅 河南省人民政府办公厅印发〈关于放权赋能支持郑州加快国家中心城市建设的意见〉的通知》（豫办〔2021〕23号）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文物保护单位原址保护措施审批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《中共河南省委办公厅 河南省人民政府办公厅印发〈关于放权赋能支持郑州加快国家中心城市建设的意见〉的通知》（豫办〔2021〕23号）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核定为文物保护单位的属于国家所有的纪念建筑物或者古建筑改变用途审批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《河南省人民政府关于向郑州市洛阳市和郑州航空港经济综合实验区下放部分省级经济社会管理权限的通知》（豫政〔2021〕9号）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85</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不可移动文物修缮审批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非国有文物收藏单位和其他单位借用国有馆藏文物审批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《河南省人民政府关于向郑州市洛阳市和郑州航空港经济综合实验区下放部分省级经济社会管理权限的通知》（豫政〔2021〕9号）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区文旅体局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利用文物保护单位拍摄或举办大型活动的审批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《河南省实施〈中华人民共和国文物保护法〉办法》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《河南省人民政府办公厅关于进一步深化县域放权赋能改革的意见》（豫政办〔2022〕99号）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88</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饮用水供水单位卫生许可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公共场所卫生许可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医疗机构建设项目放射性职业病危害预评价报告审核</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《中华人民共和国职业病防治法》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医疗机构建设项目放射性职业病防护设施竣工验收</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《中华人民共和国职业病防治法》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医疗机构设置审批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93</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医疗机构执业登记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母婴保健技术服务机构执业许可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《中华人民共和国母婴保健法》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《中华人民共和国母婴保健法实施办法》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放射源诊疗技术和医用辐射机构许可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《放射性同位素与射线装置安全和防护条例》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医师执业注册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《中华人民共和国医师法》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《医师执业注册管理办法》（国家卫生计生委令第13号）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乡村医生执业注册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母婴保健服务人员资格认定</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《中华人民共和国母婴保健法》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《中华人民共和国母婴保健法实施办法》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护士执业注册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《护士条例》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确有专长的中医医师执业注册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《中华人民共和国中医药法》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中医医疗机构设置审批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《中华人民共和国中医药法》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区卫健委</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中医医疗机构执业登记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《中华人民共和国中医药法》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区应急局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危险化学品经营许可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《危险化学品经营许可证管理办法》（安全监管总局令第55号公布，安全监管总局令第79号修正）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食品经营许可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《郑州市人民政府关于取消调整下放部分行政权责事项进一步简政放权的通知》（郑政文〔2015〕118号）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计量标准器具核准</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《中华人民共和国计量法》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承担国家法定计量检定机构任务授权</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《中华人民共和国计量法》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企业登记注册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《中华人民共和国公司法》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《中华人民共和国合伙企业法》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《中华人民共和国个人独资企业法》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《中华人民共和国外商投资法》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《中华人民共和国外商投资法实施条例》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《中华人民共和国企业法人登记管理条例》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《中华人民共和国合伙企业登记管理办法》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《企业名称登记管理规定》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108</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个体工商户登记注册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《促进个体工商户发展条例》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《企业名称登记管理规定》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109</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农民专业合作社登记注册</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《中华人民共和国农民专业合作社法》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《农民专业合作社登记管理条例》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《中华人民共和国市场主体登记管理条例实施细则》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《企业名称登记管理规定》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药品零售企业筹建审批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《中华人民共和国药品管理法》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《郑州市人民政府关于印发郑州市优化市场监管营商环境若干措施的通知》（郑政文〔2020〕61号）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药品零售企业经营许可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《中华人民共和国药品管理法》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《郑州市人民政府关于印发郑州市优化市场监管营商环境若干措施的通知》（郑政文〔2020〕61号）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112</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食品小作坊店登记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《河南省食品小作坊、小经营店和小摊点管理条例》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113</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区市场监管局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食品小经营店登记</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《河南省食品小作坊、小经营店和小摊点管理条例》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114</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区人防办</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人民防空通信、警报设施拆除审批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《河南省实施〈中华人民共和国人民防空法〉办法》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区人防办</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报废人民防空工程审批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《河南省实施〈中华人民共和国人民防空法〉办法》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《河南省人民防空工程管理办法》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《郑州市人民政府关于第十轮行政审批制度改革全面简政放权的决定》（郑政〔2013〕]29号）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区消防救援大队</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公众聚集场所投入使用、营业前消防安全检查</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117</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区民宗局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清真食品生产经营许可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《河南省少数民族权益保障条例》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《河南省清真食品管理办法》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118</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区税务局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增值税防伪税控系统最高开票限额审批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民用枪支及枪支主要零部件、弹药配置许可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举行集会游行示威许可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《中华人民共和国集会游行示威法》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大型群众性活动安全许可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公章刻制业特种行业许可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《印铸刻字业暂行管理规则》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旅馆业特种行业许可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《旅馆业治安管理办法》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124</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互联网上网服务营业场所信息网络安全审核</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125</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举办焰火晚会及其他大型焰火燃放活动许可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126</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烟花爆竹道路运输许可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民用爆炸物品购买许可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128</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民用爆炸物品运输许可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129</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剧毒化学品购买许可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130</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放射性物品道路运输许可</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131</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易制毒化学品运输许可（第一类除外）</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《中华人民共和国禁毒法》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132</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金融机构营业场所和金库安全防范设施建设方案审批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20"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133</w:t>
            </w:r>
          </w:p>
        </w:tc>
        <w:tc>
          <w:tcPr>
            <w:tcW w:w="1218"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vMerge w:val="restart"/>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金融机构营业场所和金库安全防范设施建设工程验收</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20" w:type="dxa"/>
            <w:vMerge w:val="continue"/>
            <w:vAlign w:val="center"/>
          </w:tcPr>
          <w:p>
            <w:pPr>
              <w:widowControl/>
              <w:jc w:val="left"/>
              <w:rPr>
                <w:rFonts w:ascii="Times New Roman" w:hAnsi="Times New Roman" w:eastAsia="仿宋_GB2312" w:cs="Times New Roman"/>
                <w:kern w:val="0"/>
                <w:sz w:val="22"/>
              </w:rPr>
            </w:pPr>
          </w:p>
        </w:tc>
        <w:tc>
          <w:tcPr>
            <w:tcW w:w="1218" w:type="dxa"/>
            <w:vMerge w:val="continue"/>
            <w:vAlign w:val="center"/>
          </w:tcPr>
          <w:p>
            <w:pPr>
              <w:widowControl/>
              <w:jc w:val="left"/>
              <w:rPr>
                <w:rFonts w:ascii="Times New Roman" w:hAnsi="Times New Roman" w:eastAsia="仿宋_GB2312" w:cs="Times New Roman"/>
                <w:kern w:val="0"/>
                <w:sz w:val="22"/>
              </w:rPr>
            </w:pPr>
          </w:p>
        </w:tc>
        <w:tc>
          <w:tcPr>
            <w:tcW w:w="2273" w:type="dxa"/>
            <w:vMerge w:val="continue"/>
            <w:vAlign w:val="center"/>
          </w:tcPr>
          <w:p>
            <w:pPr>
              <w:widowControl/>
              <w:jc w:val="left"/>
              <w:rPr>
                <w:rFonts w:ascii="Times New Roman" w:hAnsi="Times New Roman" w:eastAsia="仿宋_GB2312" w:cs="Times New Roman"/>
                <w:kern w:val="0"/>
                <w:sz w:val="22"/>
              </w:rPr>
            </w:pP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134</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户口迁移审批</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135</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普通护照签发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136</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内地居民前往港澳通行证、往来港澳通行证及签注签发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620"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137</w:t>
            </w:r>
          </w:p>
        </w:tc>
        <w:tc>
          <w:tcPr>
            <w:tcW w:w="1218"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市公安局金水分局</w:t>
            </w:r>
          </w:p>
        </w:tc>
        <w:tc>
          <w:tcPr>
            <w:tcW w:w="2273"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大陆居民往来台湾通行证及签注签发</w:t>
            </w:r>
          </w:p>
        </w:tc>
        <w:tc>
          <w:tcPr>
            <w:tcW w:w="6379" w:type="dxa"/>
            <w:shd w:val="clear" w:color="auto" w:fill="auto"/>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《中国公民往来台湾地区管理办法》</w:t>
            </w:r>
          </w:p>
        </w:tc>
      </w:tr>
    </w:tbl>
    <w:p>
      <w:pPr>
        <w:spacing w:line="600" w:lineRule="exact"/>
        <w:ind w:right="1280"/>
        <w:rPr>
          <w:rFonts w:ascii="Times New Roman" w:hAnsi="Times New Roman" w:eastAsia="仿宋_GB2312" w:cs="Times New Roman"/>
          <w:sz w:val="32"/>
          <w:szCs w:val="32"/>
        </w:rPr>
      </w:pPr>
    </w:p>
    <w:p>
      <w:pPr>
        <w:spacing w:line="600" w:lineRule="exact"/>
        <w:ind w:right="1280"/>
        <w:rPr>
          <w:rFonts w:ascii="Times New Roman" w:hAnsi="Times New Roman" w:eastAsia="仿宋_GB2312" w:cs="Times New Roman"/>
          <w:sz w:val="32"/>
          <w:szCs w:val="32"/>
        </w:rPr>
      </w:pPr>
    </w:p>
    <w:p>
      <w:pPr>
        <w:spacing w:line="600" w:lineRule="exact"/>
        <w:ind w:right="1280"/>
        <w:rPr>
          <w:rFonts w:ascii="Times New Roman" w:hAnsi="Times New Roman" w:eastAsia="仿宋_GB2312" w:cs="Times New Roman"/>
          <w:sz w:val="32"/>
          <w:szCs w:val="32"/>
        </w:rPr>
      </w:pPr>
    </w:p>
    <w:p>
      <w:pPr>
        <w:spacing w:line="600" w:lineRule="exact"/>
        <w:ind w:right="1280"/>
        <w:rPr>
          <w:rFonts w:ascii="Times New Roman" w:hAnsi="Times New Roman" w:eastAsia="仿宋_GB2312" w:cs="Times New Roman"/>
          <w:sz w:val="32"/>
          <w:szCs w:val="32"/>
        </w:rPr>
      </w:pPr>
    </w:p>
    <w:p>
      <w:pPr>
        <w:spacing w:line="600" w:lineRule="exact"/>
        <w:ind w:right="1280"/>
        <w:rPr>
          <w:rFonts w:ascii="Times New Roman" w:hAnsi="Times New Roman" w:eastAsia="仿宋_GB2312" w:cs="Times New Roman"/>
          <w:sz w:val="32"/>
          <w:szCs w:val="32"/>
        </w:rPr>
      </w:pPr>
    </w:p>
    <w:p>
      <w:pPr>
        <w:spacing w:line="600" w:lineRule="exact"/>
        <w:ind w:right="128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1281" w:rightChars="0" w:firstLine="0" w:firstLineChars="0"/>
        <w:jc w:val="both"/>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80" w:firstLineChars="1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43180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4pt;height:0.05pt;width:441pt;z-index:251669504;mso-width-relative:page;mso-height-relative:page;" filled="f" stroked="t" coordsize="21600,21600" o:gfxdata="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3ZdIAAAAEAQAADwAAAAAAAAAB&#10;ACAAAAAiAAAAZHJzL2Rvd25yZXYueG1sUEsBAhQAFAAAAAgAh07iQNQb/y7dAQAApwMAAA4AAAAA&#10;AAAAAQAgAAAAIQEAAGRycy9lMm9Eb2MueG1sUEsFBgAAAAAGAAYAWQEAAHA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抄送：区委各部门，区武装部。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1120" w:firstLineChars="4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sz w:val="28"/>
          <w:szCs w:val="28"/>
        </w:rPr>
        <w:t>区人大常委会办公室，区政协办公室，区法院，区检察院。</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80" w:firstLineChars="1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422910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33.3pt;height:0.05pt;width:441pt;z-index:251668480;mso-width-relative:page;mso-height-relative:page;" filled="f" stroked="t" coordsize="21600,21600" o:gfxdata="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zEO+0wAAAAYBAAAPAAAAAAAA&#10;AAEAIAAAACIAAABkcnMvZG93bnJldi54bWxQSwECFAAUAAAACACHTuJA4OPPLt4BAACnAwAADgAA&#10;AAAAAAABACAAAAAiAQAAZHJzL2Uyb0RvYy54bWxQSwUGAAAAAAYABgBZAQAAcgU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32385</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2.55pt;height:0.05pt;width:441pt;z-index:251667456;mso-width-relative:page;mso-height-relative:page;" filled="f" stroked="t" coordsize="21600,21600" o:gfxdata="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6PCdTRAAAABAEAAA8AAAAA&#10;AAAAAQAgAAAAIgAAAGRycy9kb3ducmV2LnhtbFBLAQIUABQAAAAIAIdO4kDYImPs4gEAAKYDAAAO&#10;AAAAAAAAAAEAIAAAACABAABkcnMvZTJvRG9jLnhtbFBLBQYAAAAABgAGAFkBAAB0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 xml:space="preserve">郑州市金水区人民政府办公室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 xml:space="preserve">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20</w:t>
      </w:r>
      <w:r>
        <w:rPr>
          <w:rFonts w:hint="eastAsia" w:ascii="Times New Roman" w:hAnsi="Times New Roman" w:eastAsia="仿宋_GB2312" w:cs="仿宋_GB2312"/>
          <w:color w:val="000000"/>
          <w:spacing w:val="0"/>
          <w:w w:val="100"/>
          <w:sz w:val="28"/>
          <w:szCs w:val="28"/>
          <w:lang w:val="en-US" w:eastAsia="zh-CN"/>
        </w:rPr>
        <w:t>23</w:t>
      </w:r>
      <w:r>
        <w:rPr>
          <w:rFonts w:hint="eastAsia" w:ascii="Times New Roman" w:hAnsi="Times New Roman" w:eastAsia="仿宋_GB2312" w:cs="仿宋_GB2312"/>
          <w:color w:val="000000"/>
          <w:spacing w:val="0"/>
          <w:w w:val="100"/>
          <w:sz w:val="28"/>
          <w:szCs w:val="28"/>
        </w:rPr>
        <w:t>年</w:t>
      </w:r>
      <w:r>
        <w:rPr>
          <w:rFonts w:hint="eastAsia" w:ascii="Times New Roman" w:hAnsi="Times New Roman" w:eastAsia="仿宋_GB2312" w:cs="仿宋_GB2312"/>
          <w:color w:val="000000"/>
          <w:spacing w:val="0"/>
          <w:w w:val="100"/>
          <w:sz w:val="28"/>
          <w:szCs w:val="28"/>
          <w:lang w:val="en-US" w:eastAsia="zh-CN"/>
        </w:rPr>
        <w:t>1</w:t>
      </w:r>
      <w:r>
        <w:rPr>
          <w:rFonts w:hint="eastAsia" w:ascii="Times New Roman" w:hAnsi="Times New Roman" w:eastAsia="仿宋_GB2312" w:cs="仿宋_GB2312"/>
          <w:color w:val="000000"/>
          <w:spacing w:val="0"/>
          <w:w w:val="100"/>
          <w:sz w:val="28"/>
          <w:szCs w:val="28"/>
        </w:rPr>
        <w:t>月</w:t>
      </w:r>
      <w:r>
        <w:rPr>
          <w:rFonts w:hint="eastAsia" w:ascii="Times New Roman" w:hAnsi="Times New Roman" w:eastAsia="仿宋_GB2312" w:cs="仿宋_GB2312"/>
          <w:color w:val="000000"/>
          <w:spacing w:val="0"/>
          <w:w w:val="100"/>
          <w:sz w:val="28"/>
          <w:szCs w:val="28"/>
          <w:lang w:val="en-US" w:eastAsia="zh-CN"/>
        </w:rPr>
        <w:t>18</w:t>
      </w:r>
      <w:r>
        <w:rPr>
          <w:rFonts w:hint="eastAsia" w:ascii="Times New Roman" w:hAnsi="Times New Roman" w:eastAsia="仿宋_GB2312" w:cs="仿宋_GB2312"/>
          <w:color w:val="000000"/>
          <w:spacing w:val="0"/>
          <w:w w:val="100"/>
          <w:sz w:val="28"/>
          <w:szCs w:val="28"/>
        </w:rPr>
        <w:t>日印发</w:t>
      </w:r>
    </w:p>
    <w:sectPr>
      <w:headerReference r:id="rId4" w:type="first"/>
      <w:footerReference r:id="rId7" w:type="first"/>
      <w:footerReference r:id="rId5" w:type="default"/>
      <w:headerReference r:id="rId3" w:type="even"/>
      <w:footerReference r:id="rId6" w:type="even"/>
      <w:pgSz w:w="11906" w:h="16838"/>
      <w:pgMar w:top="1871" w:right="1474" w:bottom="1701" w:left="1474"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7A"/>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24152"/>
    <w:rsid w:val="3A22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2023-10-11T01:03:00Z</dcterms:created>
  <dc:creator>admin</dc:creator>
  <cp:lastModifiedBy>admin</cp:lastModifiedBy>
  <dcterms:modified xsi:type="dcterms:W3CDTF">2023-10-11T01:03:59Z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