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color w:val="auto"/>
          <w:spacing w:val="0"/>
          <w:sz w:val="44"/>
          <w:szCs w:val="44"/>
          <w:shd w:val="clear" w:color="auto" w:fill="FFFFFF"/>
          <w:lang w:eastAsia="zh-CN"/>
        </w:rPr>
      </w:pPr>
      <w:r>
        <w:rPr>
          <w:rFonts w:hint="eastAsia" w:ascii="方正小标宋简体" w:hAnsi="方正小标宋简体" w:eastAsia="方正小标宋简体" w:cs="方正小标宋简体"/>
          <w:b w:val="0"/>
          <w:bCs w:val="0"/>
          <w:snapToGrid/>
          <w:color w:val="auto"/>
          <w:spacing w:val="0"/>
          <w:sz w:val="44"/>
          <w:szCs w:val="44"/>
          <w:shd w:val="clear" w:color="auto" w:fill="FFFFFF"/>
          <w:lang w:eastAsia="zh-CN"/>
        </w:rPr>
        <w:t>金水区推进基层综合性文化服务中心建设</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napToGrid/>
          <w:color w:val="auto"/>
          <w:sz w:val="44"/>
          <w:szCs w:val="44"/>
          <w:shd w:val="clear" w:color="auto" w:fill="FFFFFF"/>
        </w:rPr>
      </w:pPr>
      <w:r>
        <w:rPr>
          <w:rFonts w:hint="eastAsia" w:ascii="方正小标宋简体" w:hAnsi="方正小标宋简体" w:eastAsia="方正小标宋简体" w:cs="方正小标宋简体"/>
          <w:b w:val="0"/>
          <w:bCs w:val="0"/>
          <w:snapToGrid/>
          <w:color w:val="auto"/>
          <w:spacing w:val="0"/>
          <w:sz w:val="44"/>
          <w:szCs w:val="44"/>
          <w:shd w:val="clear" w:color="auto" w:fill="FFFFFF"/>
          <w:lang w:eastAsia="zh-CN"/>
        </w:rPr>
        <w:t>工作实施方案</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 w:hAnsi="仿宋" w:eastAsia="仿宋" w:cs="仿宋"/>
          <w:snapToGrid/>
          <w:color w:val="auto"/>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auto"/>
          <w:sz w:val="32"/>
          <w:szCs w:val="32"/>
          <w:shd w:val="clear" w:color="auto" w:fill="FFFFFF"/>
        </w:rPr>
      </w:pPr>
      <w:r>
        <w:rPr>
          <w:rFonts w:hint="eastAsia" w:ascii="仿宋_GB2312" w:hAnsi="仿宋_GB2312" w:eastAsia="仿宋_GB2312" w:cs="仿宋_GB2312"/>
          <w:snapToGrid/>
          <w:color w:val="auto"/>
          <w:sz w:val="32"/>
          <w:szCs w:val="32"/>
          <w:shd w:val="clear" w:color="auto" w:fill="FFFFFF"/>
        </w:rPr>
        <w:t>为认真贯彻落实</w:t>
      </w:r>
      <w:r>
        <w:rPr>
          <w:rFonts w:hint="eastAsia" w:ascii="仿宋_GB2312" w:hAnsi="仿宋_GB2312" w:eastAsia="仿宋_GB2312" w:cs="仿宋_GB2312"/>
          <w:snapToGrid/>
          <w:color w:val="auto"/>
          <w:sz w:val="32"/>
          <w:szCs w:val="32"/>
          <w:shd w:val="clear" w:color="auto" w:fill="FFFFFF"/>
          <w:lang w:eastAsia="zh-CN"/>
        </w:rPr>
        <w:t>《郑州市人民政府办公厅关于印发郑州市推进基层综合性文化服务中心建设工作实施方案的通知》（郑政办</w:t>
      </w:r>
      <w:r>
        <w:rPr>
          <w:rFonts w:hint="eastAsia" w:ascii="仿宋_GB2312" w:hAnsi="仿宋_GB2312" w:eastAsia="仿宋_GB2312" w:cs="仿宋_GB2312"/>
          <w:snapToGrid/>
          <w:color w:val="auto"/>
          <w:sz w:val="32"/>
          <w:szCs w:val="32"/>
          <w:shd w:val="clear" w:color="auto" w:fill="FFFFFF"/>
          <w:lang w:val="en-US" w:eastAsia="zh-CN"/>
        </w:rPr>
        <w:t>〔2016〕72号）</w:t>
      </w:r>
      <w:r>
        <w:rPr>
          <w:rFonts w:hint="eastAsia" w:ascii="仿宋_GB2312" w:hAnsi="仿宋_GB2312" w:eastAsia="仿宋_GB2312" w:cs="仿宋_GB2312"/>
          <w:snapToGrid/>
          <w:color w:val="auto"/>
          <w:sz w:val="32"/>
          <w:szCs w:val="32"/>
          <w:shd w:val="clear" w:color="auto" w:fill="FFFFFF"/>
        </w:rPr>
        <w:t>精神，进一步推进</w:t>
      </w:r>
      <w:r>
        <w:rPr>
          <w:rFonts w:hint="eastAsia" w:ascii="仿宋_GB2312" w:hAnsi="仿宋_GB2312" w:eastAsia="仿宋_GB2312" w:cs="仿宋_GB2312"/>
          <w:snapToGrid/>
          <w:color w:val="auto"/>
          <w:sz w:val="32"/>
          <w:szCs w:val="32"/>
          <w:shd w:val="clear" w:color="auto" w:fill="FFFFFF"/>
          <w:lang w:eastAsia="zh-CN"/>
        </w:rPr>
        <w:t>全区</w:t>
      </w:r>
      <w:r>
        <w:rPr>
          <w:rFonts w:hint="eastAsia" w:ascii="仿宋_GB2312" w:hAnsi="仿宋_GB2312" w:eastAsia="仿宋_GB2312" w:cs="仿宋_GB2312"/>
          <w:snapToGrid/>
          <w:color w:val="auto"/>
          <w:sz w:val="32"/>
          <w:szCs w:val="32"/>
          <w:shd w:val="clear" w:color="auto" w:fill="FFFFFF"/>
        </w:rPr>
        <w:t>基层公共文化资源整合利用，提升基层公共文化服务综合水平，特制定本工作实施方案。</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黑体" w:hAnsi="黑体" w:eastAsia="黑体" w:cs="黑体"/>
          <w:b w:val="0"/>
          <w:bCs/>
          <w:snapToGrid/>
          <w:color w:val="auto"/>
          <w:sz w:val="32"/>
          <w:szCs w:val="32"/>
          <w:shd w:val="clear" w:color="auto" w:fill="FFFFFF"/>
        </w:rPr>
      </w:pPr>
      <w:r>
        <w:rPr>
          <w:rFonts w:hint="eastAsia" w:ascii="黑体" w:hAnsi="黑体" w:eastAsia="黑体" w:cs="黑体"/>
          <w:b w:val="0"/>
          <w:bCs/>
          <w:snapToGrid/>
          <w:color w:val="auto"/>
          <w:sz w:val="32"/>
          <w:szCs w:val="32"/>
          <w:shd w:val="clear" w:color="auto" w:fill="FFFFFF"/>
        </w:rPr>
        <w:t>一、指导思想</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auto"/>
          <w:sz w:val="32"/>
          <w:szCs w:val="32"/>
          <w:shd w:val="clear" w:color="auto" w:fill="FFFFFF"/>
        </w:rPr>
      </w:pPr>
      <w:r>
        <w:rPr>
          <w:rFonts w:hint="eastAsia" w:ascii="仿宋_GB2312" w:hAnsi="仿宋_GB2312" w:eastAsia="仿宋_GB2312" w:cs="仿宋_GB2312"/>
          <w:snapToGrid/>
          <w:color w:val="auto"/>
          <w:sz w:val="32"/>
          <w:szCs w:val="32"/>
          <w:shd w:val="clear" w:color="auto" w:fill="FFFFFF"/>
        </w:rPr>
        <w:t>以党的十八大</w:t>
      </w:r>
      <w:r>
        <w:rPr>
          <w:rFonts w:hint="eastAsia" w:ascii="仿宋_GB2312" w:hAnsi="仿宋_GB2312" w:eastAsia="仿宋_GB2312" w:cs="仿宋_GB2312"/>
          <w:snapToGrid/>
          <w:color w:val="auto"/>
          <w:sz w:val="32"/>
          <w:szCs w:val="32"/>
          <w:shd w:val="clear" w:color="auto" w:fill="FFFFFF"/>
          <w:lang w:eastAsia="zh-CN"/>
        </w:rPr>
        <w:t>及十八届三中、四中、五中全会</w:t>
      </w:r>
      <w:r>
        <w:rPr>
          <w:rFonts w:hint="eastAsia" w:ascii="仿宋_GB2312" w:hAnsi="仿宋_GB2312" w:eastAsia="仿宋_GB2312" w:cs="仿宋_GB2312"/>
          <w:snapToGrid/>
          <w:color w:val="auto"/>
          <w:sz w:val="32"/>
          <w:szCs w:val="32"/>
          <w:shd w:val="clear" w:color="auto" w:fill="FFFFFF"/>
        </w:rPr>
        <w:t>精神为指导，</w:t>
      </w:r>
      <w:r>
        <w:rPr>
          <w:rFonts w:hint="eastAsia" w:ascii="仿宋_GB2312" w:hAnsi="仿宋_GB2312" w:eastAsia="仿宋_GB2312" w:cs="仿宋_GB2312"/>
          <w:snapToGrid/>
          <w:color w:val="auto"/>
          <w:sz w:val="32"/>
          <w:szCs w:val="32"/>
          <w:shd w:val="clear" w:color="auto" w:fill="FFFFFF"/>
          <w:lang w:eastAsia="zh-CN"/>
        </w:rPr>
        <w:t>以保障群众基本文化权益为根本，</w:t>
      </w:r>
      <w:r>
        <w:rPr>
          <w:rFonts w:hint="eastAsia" w:ascii="仿宋_GB2312" w:hAnsi="仿宋_GB2312" w:eastAsia="仿宋_GB2312" w:cs="仿宋_GB2312"/>
          <w:snapToGrid/>
          <w:color w:val="auto"/>
          <w:sz w:val="32"/>
          <w:szCs w:val="32"/>
          <w:shd w:val="clear" w:color="auto" w:fill="FFFFFF"/>
        </w:rPr>
        <w:t>以构建现代公共文化服务体系为目标，</w:t>
      </w:r>
      <w:r>
        <w:rPr>
          <w:rFonts w:hint="eastAsia" w:ascii="仿宋_GB2312" w:hAnsi="仿宋_GB2312" w:eastAsia="仿宋_GB2312" w:cs="仿宋_GB2312"/>
          <w:snapToGrid/>
          <w:color w:val="auto"/>
          <w:sz w:val="32"/>
          <w:szCs w:val="32"/>
          <w:shd w:val="clear" w:color="auto" w:fill="FFFFFF"/>
          <w:lang w:eastAsia="zh-CN"/>
        </w:rPr>
        <w:t>牢牢把握“坚持导向，服务大局”、“以人为本，对接需求”、“统筹规划，共建共享”、“因地制宜，分类指导”、“改革创新，提升效能”的基本原则，按照党中央、国务院、省委、省政府和市委、市政府决策部署，强化资源整合，创新管理机制，提升服务效能，促进基本公共文化服务标准化、均等化。力争到</w:t>
      </w:r>
      <w:r>
        <w:rPr>
          <w:rFonts w:hint="eastAsia" w:ascii="仿宋_GB2312" w:hAnsi="仿宋_GB2312" w:eastAsia="仿宋_GB2312" w:cs="仿宋_GB2312"/>
          <w:snapToGrid/>
          <w:color w:val="auto"/>
          <w:sz w:val="32"/>
          <w:szCs w:val="32"/>
          <w:shd w:val="clear" w:color="auto" w:fill="FFFFFF"/>
          <w:lang w:val="en-US" w:eastAsia="zh-CN"/>
        </w:rPr>
        <w:t>2019年底，全区范围内</w:t>
      </w:r>
      <w:r>
        <w:rPr>
          <w:rFonts w:hint="eastAsia" w:ascii="仿宋_GB2312" w:hAnsi="仿宋_GB2312" w:eastAsia="仿宋_GB2312" w:cs="仿宋_GB2312"/>
          <w:snapToGrid/>
          <w:color w:val="auto"/>
          <w:sz w:val="32"/>
          <w:szCs w:val="32"/>
          <w:shd w:val="clear" w:color="auto" w:fill="FFFFFF"/>
          <w:lang w:eastAsia="zh-CN"/>
        </w:rPr>
        <w:t>的街道和村（社区）普遍建成集宣传文化、党员教育、科学普及、普法教育、体育健身等功能于一体，资源充足、设备齐全、服务规范、保障有力、群众满意度较高的基层综合性公共文化设施和场所，形成一套符合实际、运行良好的管理体制和运行机制，建立一支扎根基层、专兼职和文化志愿者相结合、综合素质高的基层文化队伍，使基层综合性文化服务中心成为文化建设的重要阵地和提供公共文化服务的综合平台，成为党和政府联系群众的桥梁和纽带，成为基层党组织凝聚、服务群众的重要载体，为我区“实现两个率先、领跑中部城区发展”总体目标提供强大精神动力和文化支撑。</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黑体" w:hAnsi="黑体" w:eastAsia="黑体" w:cs="黑体"/>
          <w:b w:val="0"/>
          <w:bCs/>
          <w:snapToGrid/>
          <w:color w:val="auto"/>
          <w:sz w:val="32"/>
          <w:szCs w:val="32"/>
          <w:shd w:val="clear" w:color="auto" w:fill="FFFFFF"/>
        </w:rPr>
      </w:pPr>
      <w:r>
        <w:rPr>
          <w:rFonts w:hint="eastAsia" w:ascii="黑体" w:hAnsi="黑体" w:eastAsia="黑体" w:cs="黑体"/>
          <w:b w:val="0"/>
          <w:bCs/>
          <w:snapToGrid/>
          <w:color w:val="auto"/>
          <w:sz w:val="32"/>
          <w:szCs w:val="32"/>
          <w:shd w:val="clear" w:color="auto" w:fill="FFFFFF"/>
        </w:rPr>
        <w:t>二、</w:t>
      </w:r>
      <w:r>
        <w:rPr>
          <w:rFonts w:hint="eastAsia" w:ascii="黑体" w:hAnsi="黑体" w:eastAsia="黑体" w:cs="黑体"/>
          <w:b w:val="0"/>
          <w:bCs/>
          <w:snapToGrid/>
          <w:color w:val="auto"/>
          <w:sz w:val="32"/>
          <w:szCs w:val="32"/>
          <w:shd w:val="clear" w:color="auto" w:fill="FFFFFF"/>
          <w:lang w:eastAsia="zh-CN"/>
        </w:rPr>
        <w:t>主要任务</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auto"/>
          <w:sz w:val="32"/>
          <w:szCs w:val="32"/>
          <w:shd w:val="clear" w:color="auto" w:fill="FFFFFF"/>
          <w:lang w:val="en-US" w:eastAsia="zh-CN"/>
        </w:rPr>
      </w:pPr>
      <w:r>
        <w:rPr>
          <w:rFonts w:hint="eastAsia" w:ascii="仿宋_GB2312" w:hAnsi="仿宋_GB2312" w:eastAsia="仿宋_GB2312" w:cs="仿宋_GB2312"/>
          <w:snapToGrid/>
          <w:color w:val="auto"/>
          <w:sz w:val="32"/>
          <w:szCs w:val="32"/>
          <w:shd w:val="clear" w:color="auto" w:fill="FFFFFF"/>
          <w:lang w:val="en-US" w:eastAsia="zh-CN"/>
        </w:rPr>
        <w:t>按照《</w:t>
      </w:r>
      <w:r>
        <w:rPr>
          <w:rFonts w:hint="eastAsia" w:ascii="仿宋_GB2312" w:hAnsi="仿宋_GB2312" w:eastAsia="仿宋_GB2312" w:cs="仿宋_GB2312"/>
          <w:snapToGrid/>
          <w:color w:val="auto"/>
          <w:sz w:val="32"/>
          <w:szCs w:val="32"/>
          <w:shd w:val="clear" w:color="auto" w:fill="FFFFFF"/>
          <w:lang w:eastAsia="zh-CN"/>
        </w:rPr>
        <w:t>郑州市基层</w:t>
      </w:r>
      <w:r>
        <w:rPr>
          <w:rFonts w:hint="eastAsia" w:ascii="仿宋_GB2312" w:hAnsi="仿宋_GB2312" w:eastAsia="仿宋_GB2312" w:cs="仿宋_GB2312"/>
          <w:snapToGrid/>
          <w:color w:val="auto"/>
          <w:sz w:val="32"/>
          <w:szCs w:val="32"/>
          <w:shd w:val="clear" w:color="auto" w:fill="FFFFFF"/>
        </w:rPr>
        <w:t>综合性文化服务中心建设标准</w:t>
      </w:r>
      <w:r>
        <w:rPr>
          <w:rFonts w:hint="eastAsia" w:ascii="仿宋_GB2312" w:hAnsi="仿宋_GB2312" w:eastAsia="仿宋_GB2312" w:cs="仿宋_GB2312"/>
          <w:snapToGrid/>
          <w:color w:val="auto"/>
          <w:sz w:val="32"/>
          <w:szCs w:val="32"/>
          <w:shd w:val="clear" w:color="auto" w:fill="FFFFFF"/>
          <w:lang w:val="en-US" w:eastAsia="zh-CN"/>
        </w:rPr>
        <w:t>》（见附件1），各街道办事处结合辖区群众文化需求，制定基层综合性文化服务中心基本服务项目目录，为辖区居民提供大致均等的基本公共文化服务，使基层综合性文化服务中心成为加强思想政治工作、开展党员教育的重要阵地，并承担起其他公共服务和社会管理工作。主要落实好以下十项主要任务：</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color w:val="auto"/>
          <w:sz w:val="32"/>
          <w:szCs w:val="32"/>
          <w:shd w:val="clear" w:color="auto" w:fill="FFFFFF"/>
        </w:rPr>
      </w:pPr>
      <w:r>
        <w:rPr>
          <w:rFonts w:hint="eastAsia" w:ascii="楷体_GB2312" w:hAnsi="楷体_GB2312" w:eastAsia="楷体_GB2312" w:cs="楷体_GB2312"/>
          <w:b w:val="0"/>
          <w:bCs w:val="0"/>
          <w:snapToGrid/>
          <w:color w:val="auto"/>
          <w:sz w:val="32"/>
          <w:szCs w:val="32"/>
          <w:shd w:val="clear" w:color="auto" w:fill="FFFFFF"/>
        </w:rPr>
        <w:t>（一）加强</w:t>
      </w:r>
      <w:r>
        <w:rPr>
          <w:rFonts w:hint="eastAsia" w:ascii="楷体_GB2312" w:hAnsi="楷体_GB2312" w:eastAsia="楷体_GB2312" w:cs="楷体_GB2312"/>
          <w:b w:val="0"/>
          <w:bCs w:val="0"/>
          <w:snapToGrid/>
          <w:color w:val="auto"/>
          <w:sz w:val="32"/>
          <w:szCs w:val="32"/>
          <w:shd w:val="clear" w:color="auto" w:fill="FFFFFF"/>
          <w:lang w:eastAsia="zh-CN"/>
        </w:rPr>
        <w:t>设施</w:t>
      </w:r>
      <w:r>
        <w:rPr>
          <w:rFonts w:hint="eastAsia" w:ascii="楷体_GB2312" w:hAnsi="楷体_GB2312" w:eastAsia="楷体_GB2312" w:cs="楷体_GB2312"/>
          <w:b w:val="0"/>
          <w:bCs w:val="0"/>
          <w:snapToGrid/>
          <w:color w:val="auto"/>
          <w:sz w:val="32"/>
          <w:szCs w:val="32"/>
          <w:shd w:val="clear" w:color="auto" w:fill="FFFFFF"/>
        </w:rPr>
        <w:t>建设</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auto"/>
          <w:sz w:val="32"/>
          <w:szCs w:val="32"/>
          <w:shd w:val="clear" w:color="auto" w:fill="FFFFFF"/>
        </w:rPr>
      </w:pPr>
      <w:r>
        <w:rPr>
          <w:rFonts w:hint="eastAsia" w:ascii="仿宋_GB2312" w:hAnsi="仿宋_GB2312" w:eastAsia="仿宋_GB2312" w:cs="仿宋_GB2312"/>
          <w:b w:val="0"/>
          <w:bCs w:val="0"/>
          <w:snapToGrid/>
          <w:color w:val="auto"/>
          <w:sz w:val="32"/>
          <w:szCs w:val="32"/>
          <w:shd w:val="clear" w:color="auto" w:fill="FFFFFF"/>
          <w:lang w:val="en-US" w:eastAsia="zh-CN"/>
        </w:rPr>
        <w:t>1.</w:t>
      </w:r>
      <w:r>
        <w:rPr>
          <w:rFonts w:hint="eastAsia" w:ascii="仿宋_GB2312" w:hAnsi="仿宋_GB2312" w:eastAsia="仿宋_GB2312" w:cs="仿宋_GB2312"/>
          <w:b w:val="0"/>
          <w:bCs w:val="0"/>
          <w:snapToGrid/>
          <w:color w:val="auto"/>
          <w:sz w:val="32"/>
          <w:szCs w:val="32"/>
          <w:shd w:val="clear" w:color="auto" w:fill="FFFFFF"/>
        </w:rPr>
        <w:t>合理规划布局。</w:t>
      </w:r>
      <w:r>
        <w:rPr>
          <w:rFonts w:hint="eastAsia" w:ascii="仿宋_GB2312" w:hAnsi="仿宋_GB2312" w:eastAsia="仿宋_GB2312" w:cs="仿宋_GB2312"/>
          <w:snapToGrid/>
          <w:color w:val="auto"/>
          <w:sz w:val="32"/>
          <w:szCs w:val="32"/>
          <w:shd w:val="clear" w:color="auto" w:fill="FFFFFF"/>
          <w:lang w:val="en-US" w:eastAsia="zh-CN"/>
        </w:rPr>
        <w:t>各街道办事处</w:t>
      </w:r>
      <w:r>
        <w:rPr>
          <w:rFonts w:hint="eastAsia" w:ascii="仿宋_GB2312" w:hAnsi="仿宋_GB2312" w:eastAsia="仿宋_GB2312" w:cs="仿宋_GB2312"/>
          <w:snapToGrid/>
          <w:color w:val="auto"/>
          <w:sz w:val="32"/>
          <w:szCs w:val="32"/>
          <w:shd w:val="clear" w:color="auto" w:fill="FFFFFF"/>
        </w:rPr>
        <w:t>要全面摸清</w:t>
      </w:r>
      <w:r>
        <w:rPr>
          <w:rFonts w:hint="eastAsia" w:ascii="仿宋_GB2312" w:hAnsi="仿宋_GB2312" w:eastAsia="仿宋_GB2312" w:cs="仿宋_GB2312"/>
          <w:snapToGrid/>
          <w:color w:val="auto"/>
          <w:sz w:val="32"/>
          <w:szCs w:val="32"/>
          <w:shd w:val="clear" w:color="auto" w:fill="FFFFFF"/>
          <w:lang w:eastAsia="zh-CN"/>
        </w:rPr>
        <w:t>辖区内</w:t>
      </w:r>
      <w:r>
        <w:rPr>
          <w:rFonts w:hint="eastAsia" w:ascii="仿宋_GB2312" w:hAnsi="仿宋_GB2312" w:eastAsia="仿宋_GB2312" w:cs="仿宋_GB2312"/>
          <w:snapToGrid/>
          <w:color w:val="auto"/>
          <w:sz w:val="32"/>
          <w:szCs w:val="32"/>
          <w:shd w:val="clear" w:color="auto" w:fill="FFFFFF"/>
        </w:rPr>
        <w:t>公共文化设施现状，按照均衡配置、规模适当、经济适用、绿色共享等要求，合理规划、布局基层综合性文化服务中心。</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auto"/>
          <w:sz w:val="32"/>
          <w:szCs w:val="32"/>
          <w:shd w:val="clear" w:color="auto" w:fill="FFFFFF"/>
        </w:rPr>
      </w:pPr>
      <w:r>
        <w:rPr>
          <w:rFonts w:hint="eastAsia" w:ascii="仿宋_GB2312" w:hAnsi="仿宋_GB2312" w:eastAsia="仿宋_GB2312" w:cs="仿宋_GB2312"/>
          <w:b w:val="0"/>
          <w:bCs w:val="0"/>
          <w:snapToGrid/>
          <w:color w:val="auto"/>
          <w:sz w:val="32"/>
          <w:szCs w:val="32"/>
          <w:shd w:val="clear" w:color="auto" w:fill="FFFFFF"/>
          <w:lang w:val="en-US" w:eastAsia="zh-CN"/>
        </w:rPr>
        <w:t>2.</w:t>
      </w:r>
      <w:r>
        <w:rPr>
          <w:rFonts w:hint="eastAsia" w:ascii="仿宋_GB2312" w:hAnsi="仿宋_GB2312" w:eastAsia="仿宋_GB2312" w:cs="仿宋_GB2312"/>
          <w:b w:val="0"/>
          <w:bCs w:val="0"/>
          <w:snapToGrid/>
          <w:color w:val="auto"/>
          <w:sz w:val="32"/>
          <w:szCs w:val="32"/>
          <w:shd w:val="clear" w:color="auto" w:fill="FFFFFF"/>
        </w:rPr>
        <w:t>落实建设标准。</w:t>
      </w:r>
      <w:r>
        <w:rPr>
          <w:rFonts w:hint="eastAsia" w:ascii="仿宋_GB2312" w:hAnsi="仿宋_GB2312" w:eastAsia="仿宋_GB2312" w:cs="仿宋_GB2312"/>
          <w:snapToGrid/>
          <w:color w:val="auto"/>
          <w:sz w:val="32"/>
          <w:szCs w:val="32"/>
          <w:shd w:val="clear" w:color="auto" w:fill="FFFFFF"/>
        </w:rPr>
        <w:t>落实</w:t>
      </w:r>
      <w:r>
        <w:rPr>
          <w:rFonts w:hint="eastAsia" w:ascii="仿宋_GB2312" w:hAnsi="仿宋_GB2312" w:eastAsia="仿宋_GB2312" w:cs="仿宋_GB2312"/>
          <w:snapToGrid/>
          <w:color w:val="auto"/>
          <w:sz w:val="32"/>
          <w:szCs w:val="32"/>
          <w:shd w:val="clear" w:color="auto" w:fill="FFFFFF"/>
          <w:lang w:eastAsia="zh-CN"/>
        </w:rPr>
        <w:t>国家和省市相关</w:t>
      </w:r>
      <w:r>
        <w:rPr>
          <w:rFonts w:hint="eastAsia" w:ascii="仿宋_GB2312" w:hAnsi="仿宋_GB2312" w:eastAsia="仿宋_GB2312" w:cs="仿宋_GB2312"/>
          <w:snapToGrid/>
          <w:color w:val="auto"/>
          <w:sz w:val="32"/>
          <w:szCs w:val="32"/>
          <w:shd w:val="clear" w:color="auto" w:fill="FFFFFF"/>
        </w:rPr>
        <w:t>建设标准，立足实际，主要通过盘活存量、调整置换、集中利用等方式完成基层综合性文化服务中心建设，不搞大拆大建。凡现有设施能够满足基本公共文化需求的，一律不再进行改扩建和新建。街道综合性文化服务中心主要依托现有的综合文化站进行建设，重在完善、补缺，对</w:t>
      </w:r>
      <w:r>
        <w:rPr>
          <w:rFonts w:hint="eastAsia" w:ascii="仿宋_GB2312" w:hAnsi="仿宋_GB2312" w:eastAsia="仿宋_GB2312" w:cs="仿宋_GB2312"/>
          <w:snapToGrid/>
          <w:color w:val="auto"/>
          <w:sz w:val="32"/>
          <w:szCs w:val="32"/>
          <w:shd w:val="clear" w:color="auto" w:fill="FFFFFF"/>
          <w:lang w:eastAsia="zh-CN"/>
        </w:rPr>
        <w:t>个别</w:t>
      </w:r>
      <w:r>
        <w:rPr>
          <w:rFonts w:hint="eastAsia" w:ascii="仿宋_GB2312" w:hAnsi="仿宋_GB2312" w:eastAsia="仿宋_GB2312" w:cs="仿宋_GB2312"/>
          <w:snapToGrid/>
          <w:color w:val="auto"/>
          <w:sz w:val="32"/>
          <w:szCs w:val="32"/>
          <w:shd w:val="clear" w:color="auto" w:fill="FFFFFF"/>
        </w:rPr>
        <w:t>尚未建成的进行集中建设。村（社区）综合性文化服务中心主要以村（社区）文化室、党组织活动场所、住宅小区配套设施、闲置校舍办公场地以及其他公共服务设施为基础进行集合建设。综合性文化服务中心设施建设要注意适应残疾人和老年人的使用需求。</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auto"/>
          <w:sz w:val="32"/>
          <w:szCs w:val="32"/>
          <w:shd w:val="clear" w:color="auto" w:fill="FFFFFF"/>
        </w:rPr>
      </w:pPr>
      <w:r>
        <w:rPr>
          <w:rFonts w:hint="eastAsia" w:ascii="仿宋_GB2312" w:hAnsi="仿宋_GB2312" w:eastAsia="仿宋_GB2312" w:cs="仿宋_GB2312"/>
          <w:b w:val="0"/>
          <w:bCs w:val="0"/>
          <w:snapToGrid/>
          <w:color w:val="auto"/>
          <w:sz w:val="32"/>
          <w:szCs w:val="32"/>
          <w:shd w:val="clear" w:color="auto" w:fill="FFFFFF"/>
          <w:lang w:val="en-US" w:eastAsia="zh-CN"/>
        </w:rPr>
        <w:t>3.</w:t>
      </w:r>
      <w:r>
        <w:rPr>
          <w:rFonts w:hint="eastAsia" w:ascii="仿宋_GB2312" w:hAnsi="仿宋_GB2312" w:eastAsia="仿宋_GB2312" w:cs="仿宋_GB2312"/>
          <w:b w:val="0"/>
          <w:bCs w:val="0"/>
          <w:snapToGrid/>
          <w:color w:val="auto"/>
          <w:sz w:val="32"/>
          <w:szCs w:val="32"/>
          <w:shd w:val="clear" w:color="auto" w:fill="FFFFFF"/>
        </w:rPr>
        <w:t>拓展户外设施。</w:t>
      </w:r>
      <w:r>
        <w:rPr>
          <w:rFonts w:hint="eastAsia" w:ascii="仿宋_GB2312" w:hAnsi="仿宋_GB2312" w:eastAsia="仿宋_GB2312" w:cs="仿宋_GB2312"/>
          <w:snapToGrid/>
          <w:color w:val="auto"/>
          <w:sz w:val="32"/>
          <w:szCs w:val="32"/>
          <w:shd w:val="clear" w:color="auto" w:fill="FFFFFF"/>
        </w:rPr>
        <w:t>按照人口规模和服务半径，建设选址适中、与地域条件协调、与基层综合性文化服务中心相配套的文体广场。积极优化广场用地和文化、体育活动设施布局，发掘利用城乡商业广场、企业和社区场地、边角空地等社会场地资源，盘活现有场地存量。文体广场要配备阅报栏（或电子阅报屏）、公益广告牌、体育健身设施和夜间照明设备等，有条件的地方可搭建戏台、舞台。加快体育公园、健身路径、小型球场等基层体育设施建设。鼓励结合</w:t>
      </w:r>
      <w:r>
        <w:rPr>
          <w:rFonts w:hint="eastAsia" w:ascii="仿宋_GB2312" w:hAnsi="仿宋_GB2312" w:eastAsia="仿宋_GB2312" w:cs="仿宋_GB2312"/>
          <w:snapToGrid/>
          <w:color w:val="auto"/>
          <w:sz w:val="32"/>
          <w:szCs w:val="32"/>
          <w:shd w:val="clear" w:color="auto" w:fill="FFFFFF"/>
          <w:lang w:eastAsia="zh-CN"/>
        </w:rPr>
        <w:t>廊道</w:t>
      </w:r>
      <w:r>
        <w:rPr>
          <w:rFonts w:hint="eastAsia" w:ascii="仿宋_GB2312" w:hAnsi="仿宋_GB2312" w:eastAsia="仿宋_GB2312" w:cs="仿宋_GB2312"/>
          <w:snapToGrid/>
          <w:color w:val="auto"/>
          <w:sz w:val="32"/>
          <w:szCs w:val="32"/>
          <w:shd w:val="clear" w:color="auto" w:fill="FFFFFF"/>
        </w:rPr>
        <w:t>建设和城乡改造等，增加艺术雕塑和文化景观。</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color w:val="auto"/>
          <w:sz w:val="32"/>
          <w:szCs w:val="32"/>
          <w:shd w:val="clear" w:color="auto" w:fill="FFFFFF"/>
        </w:rPr>
      </w:pPr>
      <w:r>
        <w:rPr>
          <w:rFonts w:hint="eastAsia" w:ascii="楷体_GB2312" w:hAnsi="楷体_GB2312" w:eastAsia="楷体_GB2312" w:cs="楷体_GB2312"/>
          <w:b w:val="0"/>
          <w:bCs w:val="0"/>
          <w:snapToGrid/>
          <w:color w:val="auto"/>
          <w:sz w:val="32"/>
          <w:szCs w:val="32"/>
          <w:shd w:val="clear" w:color="auto" w:fill="FFFFFF"/>
        </w:rPr>
        <w:t>（二）</w:t>
      </w:r>
      <w:r>
        <w:rPr>
          <w:rFonts w:hint="eastAsia" w:ascii="楷体_GB2312" w:hAnsi="楷体_GB2312" w:eastAsia="楷体_GB2312" w:cs="楷体_GB2312"/>
          <w:b w:val="0"/>
          <w:bCs w:val="0"/>
          <w:snapToGrid/>
          <w:color w:val="auto"/>
          <w:sz w:val="32"/>
          <w:szCs w:val="32"/>
          <w:shd w:val="clear" w:color="auto" w:fill="FFFFFF"/>
          <w:lang w:eastAsia="zh-CN"/>
        </w:rPr>
        <w:t>丰富服务内容</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1.</w:t>
      </w:r>
      <w:r>
        <w:rPr>
          <w:rFonts w:hint="eastAsia" w:ascii="仿宋_GB2312" w:hAnsi="仿宋_GB2312" w:eastAsia="仿宋_GB2312" w:cs="仿宋_GB2312"/>
          <w:b w:val="0"/>
          <w:bCs w:val="0"/>
          <w:snapToGrid/>
          <w:color w:val="auto"/>
          <w:sz w:val="32"/>
          <w:szCs w:val="32"/>
          <w:shd w:val="clear" w:color="auto" w:fill="FFFFFF"/>
          <w:lang w:eastAsia="zh-CN"/>
        </w:rPr>
        <w:t>广泛开展宣传教育活动</w:t>
      </w:r>
      <w:r>
        <w:rPr>
          <w:rFonts w:hint="eastAsia" w:ascii="仿宋_GB2312" w:hAnsi="仿宋_GB2312" w:eastAsia="仿宋_GB2312" w:cs="仿宋_GB2312"/>
          <w:b w:val="0"/>
          <w:bCs w:val="0"/>
          <w:snapToGrid/>
          <w:color w:val="auto"/>
          <w:sz w:val="32"/>
          <w:szCs w:val="32"/>
          <w:shd w:val="clear" w:color="auto" w:fill="FFFFFF"/>
        </w:rPr>
        <w:t>。</w:t>
      </w:r>
      <w:r>
        <w:rPr>
          <w:rFonts w:hint="eastAsia" w:ascii="仿宋_GB2312" w:hAnsi="仿宋_GB2312" w:eastAsia="仿宋_GB2312" w:cs="仿宋_GB2312"/>
          <w:snapToGrid/>
          <w:color w:val="auto"/>
          <w:sz w:val="32"/>
          <w:szCs w:val="32"/>
          <w:shd w:val="clear" w:color="auto" w:fill="FFFFFF"/>
          <w:lang w:eastAsia="zh-CN"/>
        </w:rPr>
        <w:t>围绕新时期党和国家的重大改革措施及惠民政策，采取政策解读、专题报告、百姓论坛等多种方式，广泛开展社会主义核心价值观学习教育和中国梦主题教育实践，推进文明街道、文明社区（村）创建和乡贤文化建设。供养中华优秀传统文化，利用当地特色历史文化资源，加强民间文化艺术之乡创建，做好非物质文化遗产保护工作，打造基层特色文化品牌。开展艺术普及、全民阅读、法治、科普推广和就业培训等，传播科学文化知识，提高群众综合素质。</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2.组织引导群众文体活动。</w:t>
      </w:r>
      <w:r>
        <w:rPr>
          <w:rFonts w:hint="eastAsia" w:ascii="仿宋_GB2312" w:hAnsi="仿宋_GB2312" w:eastAsia="仿宋_GB2312" w:cs="仿宋_GB2312"/>
          <w:snapToGrid/>
          <w:color w:val="auto"/>
          <w:sz w:val="32"/>
          <w:szCs w:val="32"/>
          <w:shd w:val="clear" w:color="auto" w:fill="FFFFFF"/>
          <w:lang w:val="en-US" w:eastAsia="zh-CN"/>
        </w:rPr>
        <w:t>依托基层综合性文化服务中心，鼓励全民创作和全民艺术普及，支持群众自办读书社、书画社、文艺俱乐部，组建演出团体、民间艺术社团、健身团队及个体放映队等。结合传统节日、重要节假日和重大节庆日活动，组织开展各类文体活动，加强对广场舞等群众文体活动的引导，推进广场文化健康、规范、有序发展。工会、共青团、妇联等群团组织要以基层综合性文化服务中心为载体，开展丰富多彩的文体活动。</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auto"/>
          <w:sz w:val="32"/>
          <w:szCs w:val="32"/>
          <w:shd w:val="clear" w:color="auto" w:fill="FFFFFF"/>
          <w:lang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3.</w:t>
      </w:r>
      <w:r>
        <w:rPr>
          <w:rFonts w:hint="eastAsia" w:ascii="仿宋_GB2312" w:hAnsi="仿宋_GB2312" w:eastAsia="仿宋_GB2312" w:cs="仿宋_GB2312"/>
          <w:b w:val="0"/>
          <w:bCs w:val="0"/>
          <w:snapToGrid/>
          <w:color w:val="auto"/>
          <w:sz w:val="32"/>
          <w:szCs w:val="32"/>
          <w:shd w:val="clear" w:color="auto" w:fill="FFFFFF"/>
          <w:lang w:eastAsia="zh-CN"/>
        </w:rPr>
        <w:t>创新服务方式和手段。</w:t>
      </w:r>
      <w:r>
        <w:rPr>
          <w:rFonts w:hint="eastAsia" w:ascii="仿宋_GB2312" w:hAnsi="仿宋_GB2312" w:eastAsia="仿宋_GB2312" w:cs="仿宋_GB2312"/>
          <w:snapToGrid/>
          <w:color w:val="auto"/>
          <w:sz w:val="32"/>
          <w:szCs w:val="32"/>
          <w:shd w:val="clear" w:color="auto" w:fill="FFFFFF"/>
          <w:lang w:eastAsia="zh-CN"/>
        </w:rPr>
        <w:t>畅通群众文化需求反馈渠道，通过“订单”服务方式，实现供需有效对接。实行公共文化服务单位错时开放，提高公共文化设施设备使用效率。加强基层流动服务，并积极为特殊群体提供有针对性的文化服务。充分发挥互联网等现代信息技术优势，为基层群众提供数字阅读、文化娱乐、公共信息和技能培训等服务。推广文化体育志愿服务，大力开展志愿服务活动，推动各级骨干文艺团体与基层综合性文化服务中心“结对子”。</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楷体_GB2312" w:hAnsi="楷体_GB2312" w:eastAsia="楷体_GB2312" w:cs="楷体_GB2312"/>
          <w:b w:val="0"/>
          <w:bCs w:val="0"/>
          <w:snapToGrid/>
          <w:color w:val="auto"/>
          <w:sz w:val="32"/>
          <w:szCs w:val="32"/>
          <w:shd w:val="clear" w:color="auto" w:fill="FFFFFF"/>
          <w:lang w:eastAsia="zh-CN"/>
        </w:rPr>
      </w:pPr>
      <w:r>
        <w:rPr>
          <w:rFonts w:hint="eastAsia" w:ascii="楷体_GB2312" w:hAnsi="楷体_GB2312" w:eastAsia="楷体_GB2312" w:cs="楷体_GB2312"/>
          <w:b w:val="0"/>
          <w:bCs w:val="0"/>
          <w:snapToGrid/>
          <w:color w:val="auto"/>
          <w:sz w:val="32"/>
          <w:szCs w:val="32"/>
          <w:shd w:val="clear" w:color="auto" w:fill="FFFFFF"/>
          <w:lang w:eastAsia="zh-CN"/>
        </w:rPr>
        <w:t>（三）创新基层公共文化运行管理机制</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1.强化政府主导作用。</w:t>
      </w:r>
      <w:r>
        <w:rPr>
          <w:rFonts w:hint="eastAsia" w:ascii="仿宋_GB2312" w:hAnsi="仿宋_GB2312" w:eastAsia="仿宋_GB2312" w:cs="仿宋_GB2312"/>
          <w:snapToGrid/>
          <w:color w:val="auto"/>
          <w:sz w:val="32"/>
          <w:szCs w:val="32"/>
          <w:shd w:val="clear" w:color="auto" w:fill="FFFFFF"/>
          <w:lang w:val="en-US" w:eastAsia="zh-CN"/>
        </w:rPr>
        <w:t>各街道办事处在推进基层综合文化服务中心建设中承担主体责任，要实事求是确定存量改造和增量建设任务，把各级各类面向基层的公共文化资源纳入到支持基层综合性文化服务中心建设上来；宣传、文化主管部门要发挥牵头作用，加强协调指导，及时研究解决建设中存在的问题；发展改革、财政等相关部门要立足职责、分工合作，共同推动工作落实。</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2.建立健全管理制度。</w:t>
      </w:r>
      <w:r>
        <w:rPr>
          <w:rFonts w:hint="eastAsia" w:ascii="仿宋_GB2312" w:hAnsi="仿宋_GB2312" w:eastAsia="仿宋_GB2312" w:cs="仿宋_GB2312"/>
          <w:snapToGrid/>
          <w:color w:val="auto"/>
          <w:sz w:val="32"/>
          <w:szCs w:val="32"/>
          <w:shd w:val="clear" w:color="auto" w:fill="FFFFFF"/>
          <w:lang w:val="en-US" w:eastAsia="zh-CN"/>
        </w:rPr>
        <w:t>加强基层综合性文化服务中心管理，制定基层综合性文化服务中心的服务规范。建立区级统筹规划，街道组织推进，村（社区）自我管理的工作机制。建立健全标准体系和内部管理制度，形成长效机制，实现良性运转和可持续发展。对城乡建设中确需拆迁的公共文化设施，要履行报批手续，迁建工作要坚持先建设后拆除或建设拆除同时进行的远策。严格安全管理，制定突发事件应急预案，及时消除各类安全隐患。</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3.鼓励群众参与建设管理。</w:t>
      </w:r>
      <w:r>
        <w:rPr>
          <w:rFonts w:hint="eastAsia" w:ascii="仿宋_GB2312" w:hAnsi="仿宋_GB2312" w:eastAsia="仿宋_GB2312" w:cs="仿宋_GB2312"/>
          <w:snapToGrid/>
          <w:color w:val="auto"/>
          <w:sz w:val="32"/>
          <w:szCs w:val="32"/>
          <w:shd w:val="clear" w:color="auto" w:fill="FFFFFF"/>
          <w:lang w:val="en-US" w:eastAsia="zh-CN"/>
        </w:rPr>
        <w:t>发挥村委会和社区居委会的群众自治组织作用，加强群众自主管理和自我服务，引导城乡居民积极参与村（社区）综合文化服务中心的建设、使用。健全民意表达机制，开展形式多样的民主协商，对基层综合性文化服务中心建设发展的重要事项，充分听取群众意见建议，接收群众监督。</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color w:val="auto"/>
          <w:sz w:val="32"/>
          <w:szCs w:val="32"/>
          <w:shd w:val="clear" w:color="auto" w:fill="FFFFFF"/>
          <w:lang w:val="en-US" w:eastAsia="zh-CN"/>
        </w:rPr>
      </w:pPr>
      <w:r>
        <w:rPr>
          <w:rFonts w:hint="eastAsia" w:ascii="仿宋_GB2312" w:hAnsi="仿宋_GB2312" w:eastAsia="仿宋_GB2312" w:cs="仿宋_GB2312"/>
          <w:b w:val="0"/>
          <w:bCs w:val="0"/>
          <w:snapToGrid/>
          <w:color w:val="auto"/>
          <w:sz w:val="32"/>
          <w:szCs w:val="32"/>
          <w:shd w:val="clear" w:color="auto" w:fill="FFFFFF"/>
          <w:lang w:val="en-US" w:eastAsia="zh-CN"/>
        </w:rPr>
        <w:t>4.探索社会化建设管理模式。</w:t>
      </w:r>
      <w:r>
        <w:rPr>
          <w:rFonts w:hint="eastAsia" w:ascii="仿宋_GB2312" w:hAnsi="仿宋_GB2312" w:eastAsia="仿宋_GB2312" w:cs="仿宋_GB2312"/>
          <w:snapToGrid/>
          <w:color w:val="auto"/>
          <w:sz w:val="32"/>
          <w:szCs w:val="32"/>
          <w:shd w:val="clear" w:color="auto" w:fill="FFFFFF"/>
          <w:lang w:val="en-US" w:eastAsia="zh-CN"/>
        </w:rPr>
        <w:t>加大政府向社会力量购买公共文化服务力度，拓宽社会供给渠道，丰富基层公共文化服务内容。落实先行鼓励社会组织、机构和个人捐赠公益性文化事业所得税税前扣除政策规定。鼓励支持企业、社会组织和其他社会力量，通过直接投资、赞助活动、捐助设备、资助项目、提供产品和服务，以及采取公益创投、公益众筹等方式，参与基层综合性文化服务中心建设管理。积极探索开展社会化运营试点，通过委托或招投标等方式吸引有实力的社会组织和企业参与基层文化设施运营。</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黑体" w:hAnsi="黑体" w:eastAsia="黑体" w:cs="黑体"/>
          <w:b w:val="0"/>
          <w:bCs/>
          <w:snapToGrid/>
          <w:color w:val="auto"/>
          <w:sz w:val="32"/>
          <w:szCs w:val="32"/>
          <w:shd w:val="clear" w:color="auto" w:fill="FFFFFF"/>
          <w:lang w:val="en-US" w:eastAsia="zh-CN"/>
        </w:rPr>
      </w:pPr>
      <w:r>
        <w:rPr>
          <w:rFonts w:hint="eastAsia" w:ascii="黑体" w:hAnsi="黑体" w:eastAsia="黑体" w:cs="黑体"/>
          <w:b w:val="0"/>
          <w:bCs/>
          <w:snapToGrid/>
          <w:color w:val="auto"/>
          <w:sz w:val="32"/>
          <w:szCs w:val="32"/>
          <w:shd w:val="clear" w:color="auto" w:fill="FFFFFF"/>
          <w:lang w:val="en-US" w:eastAsia="zh-CN"/>
        </w:rPr>
        <w:t>三、阶段划分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根据我区实际情况，基层综合性文化服务中心建设工作分为五个阶段：</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0" w:lineRule="exact"/>
        <w:ind w:right="0" w:rightChars="0"/>
        <w:jc w:val="both"/>
        <w:textAlignment w:val="auto"/>
        <w:outlineLvl w:val="9"/>
        <w:rPr>
          <w:rFonts w:hint="eastAsia" w:ascii="楷体" w:hAnsi="楷体" w:eastAsia="楷体" w:cs="楷体"/>
          <w:b w:val="0"/>
          <w:bCs w:val="0"/>
          <w:snapToGrid/>
          <w:color w:val="auto"/>
          <w:sz w:val="32"/>
          <w:szCs w:val="32"/>
          <w:shd w:val="clear" w:color="auto" w:fill="FFFFFF"/>
        </w:rPr>
      </w:pPr>
      <w:r>
        <w:rPr>
          <w:rFonts w:hint="eastAsia" w:ascii="仿宋" w:hAnsi="仿宋" w:eastAsia="仿宋" w:cs="仿宋"/>
          <w:b/>
          <w:bCs/>
          <w:snapToGrid/>
          <w:color w:val="auto"/>
          <w:sz w:val="32"/>
          <w:szCs w:val="32"/>
          <w:shd w:val="clear" w:color="auto" w:fill="FFFFFF"/>
          <w:lang w:val="en-US" w:eastAsia="zh-CN"/>
        </w:rPr>
        <w:t xml:space="preserve">    </w:t>
      </w:r>
      <w:r>
        <w:rPr>
          <w:rFonts w:hint="eastAsia" w:ascii="楷体" w:hAnsi="楷体" w:eastAsia="楷体" w:cs="楷体"/>
          <w:b w:val="0"/>
          <w:bCs w:val="0"/>
          <w:snapToGrid/>
          <w:color w:val="auto"/>
          <w:sz w:val="32"/>
          <w:szCs w:val="32"/>
          <w:shd w:val="clear" w:color="auto" w:fill="FFFFFF"/>
          <w:lang w:val="en-US" w:eastAsia="zh-CN"/>
        </w:rPr>
        <w:t>（一）</w:t>
      </w:r>
      <w:r>
        <w:rPr>
          <w:rFonts w:hint="eastAsia" w:ascii="楷体" w:hAnsi="楷体" w:eastAsia="楷体" w:cs="楷体"/>
          <w:b w:val="0"/>
          <w:bCs w:val="0"/>
          <w:snapToGrid/>
          <w:color w:val="auto"/>
          <w:sz w:val="32"/>
          <w:szCs w:val="32"/>
          <w:shd w:val="clear" w:color="auto" w:fill="FFFFFF"/>
          <w:lang w:eastAsia="zh-CN"/>
        </w:rPr>
        <w:t>制定方案、全面部署（</w:t>
      </w:r>
      <w:r>
        <w:rPr>
          <w:rFonts w:hint="eastAsia" w:ascii="楷体" w:hAnsi="楷体" w:eastAsia="楷体" w:cs="楷体"/>
          <w:b w:val="0"/>
          <w:bCs w:val="0"/>
          <w:snapToGrid/>
          <w:color w:val="auto"/>
          <w:sz w:val="32"/>
          <w:szCs w:val="32"/>
          <w:shd w:val="clear" w:color="auto" w:fill="FFFFFF"/>
          <w:lang w:val="en-US" w:eastAsia="zh-CN"/>
        </w:rPr>
        <w:t>2017年3月-2017年4月</w:t>
      </w:r>
      <w:r>
        <w:rPr>
          <w:rFonts w:hint="eastAsia" w:ascii="楷体" w:hAnsi="楷体" w:eastAsia="楷体" w:cs="楷体"/>
          <w:b w:val="0"/>
          <w:bCs w:val="0"/>
          <w:snapToGrid/>
          <w:color w:val="auto"/>
          <w:sz w:val="32"/>
          <w:szCs w:val="32"/>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0" w:lineRule="exact"/>
        <w:ind w:left="0" w:leftChars="0"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napToGrid/>
          <w:color w:val="auto"/>
          <w:sz w:val="32"/>
          <w:szCs w:val="32"/>
          <w:shd w:val="clear" w:color="auto" w:fill="FFFFFF"/>
          <w:lang w:val="en-US" w:eastAsia="zh-CN"/>
        </w:rPr>
        <w:t xml:space="preserve">    根据省、市有关</w:t>
      </w:r>
      <w:r>
        <w:rPr>
          <w:rFonts w:hint="eastAsia" w:ascii="仿宋" w:hAnsi="仿宋" w:eastAsia="仿宋" w:cs="仿宋"/>
          <w:color w:val="auto"/>
          <w:sz w:val="32"/>
          <w:szCs w:val="32"/>
          <w:lang w:val="en-US" w:eastAsia="zh-CN"/>
        </w:rPr>
        <w:t>要求，在对本地</w:t>
      </w:r>
      <w:r>
        <w:rPr>
          <w:rFonts w:hint="eastAsia" w:ascii="仿宋" w:hAnsi="仿宋" w:eastAsia="仿宋" w:cs="仿宋"/>
          <w:snapToGrid/>
          <w:color w:val="auto"/>
          <w:sz w:val="32"/>
          <w:szCs w:val="32"/>
          <w:shd w:val="clear" w:color="auto" w:fill="FFFFFF"/>
        </w:rPr>
        <w:t>基层综合性文化服务中心建设</w:t>
      </w:r>
      <w:r>
        <w:rPr>
          <w:rFonts w:hint="eastAsia" w:ascii="仿宋" w:hAnsi="仿宋" w:eastAsia="仿宋" w:cs="仿宋"/>
          <w:snapToGrid/>
          <w:color w:val="auto"/>
          <w:sz w:val="32"/>
          <w:szCs w:val="32"/>
          <w:shd w:val="clear" w:color="auto" w:fill="FFFFFF"/>
          <w:lang w:eastAsia="zh-CN"/>
        </w:rPr>
        <w:t>摸底调查的基础上，</w:t>
      </w:r>
      <w:r>
        <w:rPr>
          <w:rFonts w:hint="eastAsia" w:ascii="仿宋" w:hAnsi="仿宋" w:eastAsia="仿宋" w:cs="仿宋"/>
          <w:color w:val="auto"/>
          <w:sz w:val="32"/>
          <w:szCs w:val="32"/>
          <w:lang w:val="en-US" w:eastAsia="zh-CN"/>
        </w:rPr>
        <w:t>组织制定好具体实施方案，包括总体思路、具体建设数量、建设规划、建设标准，建设位置和时间标准，</w:t>
      </w:r>
      <w:r>
        <w:rPr>
          <w:rFonts w:hint="eastAsia" w:ascii="仿宋" w:hAnsi="仿宋" w:eastAsia="仿宋" w:cs="仿宋"/>
          <w:snapToGrid/>
          <w:color w:val="auto"/>
          <w:sz w:val="32"/>
          <w:szCs w:val="32"/>
          <w:shd w:val="clear" w:color="auto" w:fill="FFFFFF"/>
        </w:rPr>
        <w:t>明确各项重点任务，落实工作责任</w:t>
      </w:r>
      <w:r>
        <w:rPr>
          <w:rFonts w:hint="eastAsia" w:ascii="仿宋" w:hAnsi="仿宋" w:eastAsia="仿宋" w:cs="仿宋"/>
          <w:color w:val="auto"/>
          <w:sz w:val="32"/>
          <w:szCs w:val="32"/>
          <w:lang w:val="en-US" w:eastAsia="zh-CN"/>
        </w:rPr>
        <w:t>。适时召开</w:t>
      </w:r>
      <w:r>
        <w:rPr>
          <w:rFonts w:hint="eastAsia" w:ascii="仿宋" w:hAnsi="仿宋" w:eastAsia="仿宋" w:cs="仿宋"/>
          <w:snapToGrid/>
          <w:color w:val="auto"/>
          <w:sz w:val="32"/>
          <w:szCs w:val="32"/>
          <w:shd w:val="clear" w:color="auto" w:fill="FFFFFF"/>
        </w:rPr>
        <w:t>基层综合性文化服务中心建设</w:t>
      </w:r>
      <w:r>
        <w:rPr>
          <w:rFonts w:hint="eastAsia" w:ascii="仿宋" w:hAnsi="仿宋" w:eastAsia="仿宋" w:cs="仿宋"/>
          <w:color w:val="auto"/>
          <w:sz w:val="32"/>
          <w:szCs w:val="32"/>
          <w:lang w:val="en-US" w:eastAsia="zh-CN"/>
        </w:rPr>
        <w:t>工作部署会，</w:t>
      </w:r>
      <w:r>
        <w:rPr>
          <w:rFonts w:hint="eastAsia" w:ascii="仿宋" w:hAnsi="仿宋" w:eastAsia="仿宋" w:cs="仿宋"/>
          <w:snapToGrid/>
          <w:color w:val="auto"/>
          <w:sz w:val="32"/>
          <w:szCs w:val="32"/>
          <w:shd w:val="clear" w:color="auto" w:fill="FFFFFF"/>
        </w:rPr>
        <w:t>进一步</w:t>
      </w:r>
      <w:r>
        <w:rPr>
          <w:rFonts w:hint="eastAsia" w:ascii="仿宋" w:hAnsi="仿宋" w:eastAsia="仿宋" w:cs="仿宋"/>
          <w:snapToGrid/>
          <w:color w:val="auto"/>
          <w:sz w:val="32"/>
          <w:szCs w:val="32"/>
          <w:shd w:val="clear" w:color="auto" w:fill="FFFFFF"/>
          <w:lang w:eastAsia="zh-CN"/>
        </w:rPr>
        <w:t>推动各项建设工作深入、扎实、有效开展。</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Chars="200" w:right="0" w:rightChars="0"/>
        <w:jc w:val="both"/>
        <w:textAlignment w:val="auto"/>
        <w:outlineLvl w:val="9"/>
        <w:rPr>
          <w:rFonts w:hint="eastAsia" w:ascii="楷体" w:hAnsi="楷体" w:eastAsia="楷体" w:cs="楷体"/>
          <w:b w:val="0"/>
          <w:bCs w:val="0"/>
          <w:snapToGrid/>
          <w:color w:val="auto"/>
          <w:sz w:val="32"/>
          <w:szCs w:val="32"/>
          <w:shd w:val="clear" w:color="auto" w:fill="FFFFFF"/>
        </w:rPr>
      </w:pPr>
      <w:r>
        <w:rPr>
          <w:rFonts w:hint="eastAsia" w:ascii="楷体" w:hAnsi="楷体" w:eastAsia="楷体" w:cs="楷体"/>
          <w:b w:val="0"/>
          <w:bCs w:val="0"/>
          <w:snapToGrid/>
          <w:color w:val="auto"/>
          <w:sz w:val="32"/>
          <w:szCs w:val="32"/>
          <w:shd w:val="clear" w:color="auto" w:fill="FFFFFF"/>
          <w:lang w:eastAsia="zh-CN"/>
        </w:rPr>
        <w:t>（二）试点推进、逐步推广（</w:t>
      </w:r>
      <w:r>
        <w:rPr>
          <w:rFonts w:hint="eastAsia" w:ascii="楷体" w:hAnsi="楷体" w:eastAsia="楷体" w:cs="楷体"/>
          <w:b w:val="0"/>
          <w:bCs w:val="0"/>
          <w:snapToGrid/>
          <w:color w:val="auto"/>
          <w:sz w:val="32"/>
          <w:szCs w:val="32"/>
          <w:shd w:val="clear" w:color="auto" w:fill="FFFFFF"/>
        </w:rPr>
        <w:t>20</w:t>
      </w:r>
      <w:r>
        <w:rPr>
          <w:rFonts w:hint="eastAsia" w:ascii="楷体" w:hAnsi="楷体" w:eastAsia="楷体" w:cs="楷体"/>
          <w:b w:val="0"/>
          <w:bCs w:val="0"/>
          <w:snapToGrid/>
          <w:color w:val="auto"/>
          <w:sz w:val="32"/>
          <w:szCs w:val="32"/>
          <w:shd w:val="clear" w:color="auto" w:fill="FFFFFF"/>
          <w:lang w:val="en-US" w:eastAsia="zh-CN"/>
        </w:rPr>
        <w:t>17</w:t>
      </w:r>
      <w:r>
        <w:rPr>
          <w:rFonts w:hint="eastAsia" w:ascii="楷体" w:hAnsi="楷体" w:eastAsia="楷体" w:cs="楷体"/>
          <w:b w:val="0"/>
          <w:bCs w:val="0"/>
          <w:snapToGrid/>
          <w:color w:val="auto"/>
          <w:sz w:val="32"/>
          <w:szCs w:val="32"/>
          <w:shd w:val="clear" w:color="auto" w:fill="FFFFFF"/>
        </w:rPr>
        <w:t>年</w:t>
      </w:r>
      <w:r>
        <w:rPr>
          <w:rFonts w:hint="eastAsia" w:ascii="楷体" w:hAnsi="楷体" w:eastAsia="楷体" w:cs="楷体"/>
          <w:b w:val="0"/>
          <w:bCs w:val="0"/>
          <w:snapToGrid/>
          <w:color w:val="auto"/>
          <w:sz w:val="32"/>
          <w:szCs w:val="32"/>
          <w:shd w:val="clear" w:color="auto" w:fill="FFFFFF"/>
          <w:lang w:val="en-US" w:eastAsia="zh-CN"/>
        </w:rPr>
        <w:t>4</w:t>
      </w:r>
      <w:r>
        <w:rPr>
          <w:rFonts w:hint="eastAsia" w:ascii="楷体" w:hAnsi="楷体" w:eastAsia="楷体" w:cs="楷体"/>
          <w:b w:val="0"/>
          <w:bCs w:val="0"/>
          <w:snapToGrid/>
          <w:color w:val="auto"/>
          <w:sz w:val="32"/>
          <w:szCs w:val="32"/>
          <w:shd w:val="clear" w:color="auto" w:fill="FFFFFF"/>
        </w:rPr>
        <w:t>月</w:t>
      </w:r>
      <w:r>
        <w:rPr>
          <w:rFonts w:hint="eastAsia" w:ascii="楷体" w:hAnsi="楷体" w:eastAsia="楷体" w:cs="楷体"/>
          <w:b w:val="0"/>
          <w:bCs w:val="0"/>
          <w:snapToGrid/>
          <w:color w:val="auto"/>
          <w:sz w:val="32"/>
          <w:szCs w:val="32"/>
          <w:shd w:val="clear" w:color="auto" w:fill="FFFFFF"/>
          <w:lang w:val="en-US" w:eastAsia="zh-CN"/>
        </w:rPr>
        <w:t>-</w:t>
      </w:r>
      <w:r>
        <w:rPr>
          <w:rFonts w:hint="eastAsia" w:ascii="楷体" w:hAnsi="楷体" w:eastAsia="楷体" w:cs="楷体"/>
          <w:b w:val="0"/>
          <w:bCs w:val="0"/>
          <w:snapToGrid/>
          <w:color w:val="auto"/>
          <w:sz w:val="32"/>
          <w:szCs w:val="32"/>
          <w:shd w:val="clear" w:color="auto" w:fill="FFFFFF"/>
        </w:rPr>
        <w:t>201</w:t>
      </w:r>
      <w:r>
        <w:rPr>
          <w:rFonts w:hint="eastAsia" w:ascii="楷体" w:hAnsi="楷体" w:eastAsia="楷体" w:cs="楷体"/>
          <w:b w:val="0"/>
          <w:bCs w:val="0"/>
          <w:snapToGrid/>
          <w:color w:val="auto"/>
          <w:sz w:val="32"/>
          <w:szCs w:val="32"/>
          <w:shd w:val="clear" w:color="auto" w:fill="FFFFFF"/>
          <w:lang w:val="en-US" w:eastAsia="zh-CN"/>
        </w:rPr>
        <w:t>7</w:t>
      </w:r>
      <w:r>
        <w:rPr>
          <w:rFonts w:hint="eastAsia" w:ascii="楷体" w:hAnsi="楷体" w:eastAsia="楷体" w:cs="楷体"/>
          <w:b w:val="0"/>
          <w:bCs w:val="0"/>
          <w:snapToGrid/>
          <w:color w:val="auto"/>
          <w:sz w:val="32"/>
          <w:szCs w:val="32"/>
          <w:shd w:val="clear" w:color="auto" w:fill="FFFFFF"/>
        </w:rPr>
        <w:t>年</w:t>
      </w:r>
      <w:r>
        <w:rPr>
          <w:rFonts w:hint="eastAsia" w:ascii="楷体" w:hAnsi="楷体" w:eastAsia="楷体" w:cs="楷体"/>
          <w:b w:val="0"/>
          <w:bCs w:val="0"/>
          <w:snapToGrid/>
          <w:color w:val="auto"/>
          <w:sz w:val="32"/>
          <w:szCs w:val="32"/>
          <w:shd w:val="clear" w:color="auto" w:fill="FFFFFF"/>
          <w:lang w:val="en-US" w:eastAsia="zh-CN"/>
        </w:rPr>
        <w:t>6</w:t>
      </w:r>
      <w:r>
        <w:rPr>
          <w:rFonts w:hint="eastAsia" w:ascii="楷体" w:hAnsi="楷体" w:eastAsia="楷体" w:cs="楷体"/>
          <w:b w:val="0"/>
          <w:bCs w:val="0"/>
          <w:snapToGrid/>
          <w:color w:val="auto"/>
          <w:sz w:val="32"/>
          <w:szCs w:val="32"/>
          <w:shd w:val="clear" w:color="auto" w:fill="FFFFFF"/>
        </w:rPr>
        <w:t>月</w:t>
      </w:r>
      <w:r>
        <w:rPr>
          <w:rFonts w:hint="eastAsia" w:ascii="楷体" w:hAnsi="楷体" w:eastAsia="楷体" w:cs="楷体"/>
          <w:b w:val="0"/>
          <w:bCs w:val="0"/>
          <w:snapToGrid/>
          <w:color w:val="auto"/>
          <w:sz w:val="32"/>
          <w:szCs w:val="32"/>
          <w:shd w:val="clear" w:color="auto" w:fill="FFFFFF"/>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 w:hAnsi="仿宋" w:eastAsia="仿宋" w:cs="仿宋"/>
          <w:snapToGrid/>
          <w:color w:val="auto"/>
          <w:sz w:val="32"/>
          <w:szCs w:val="32"/>
          <w:shd w:val="clear" w:color="auto" w:fill="FFFFFF"/>
          <w:lang w:val="en-US" w:eastAsia="zh-CN"/>
        </w:rPr>
      </w:pPr>
      <w:r>
        <w:rPr>
          <w:rFonts w:hint="eastAsia" w:ascii="仿宋" w:hAnsi="仿宋" w:eastAsia="仿宋" w:cs="仿宋"/>
          <w:snapToGrid/>
          <w:color w:val="auto"/>
          <w:sz w:val="32"/>
          <w:szCs w:val="32"/>
          <w:shd w:val="clear" w:color="auto" w:fill="FFFFFF"/>
          <w:lang w:eastAsia="zh-CN"/>
        </w:rPr>
        <w:t>全区确定</w:t>
      </w:r>
      <w:r>
        <w:rPr>
          <w:rFonts w:hint="eastAsia" w:ascii="仿宋" w:hAnsi="仿宋" w:eastAsia="仿宋" w:cs="仿宋"/>
          <w:snapToGrid/>
          <w:color w:val="auto"/>
          <w:sz w:val="32"/>
          <w:szCs w:val="32"/>
          <w:shd w:val="clear" w:color="auto" w:fill="FFFFFF"/>
          <w:lang w:val="en-US" w:eastAsia="zh-CN"/>
        </w:rPr>
        <w:t>4—5个基层综合性文化服务中心建设试点，建立试点工作领导机构，按照标准推进试点建设工作，并在2017年6月底前完成试点建设任务，形成试点工作经验总结，逐步向全区推广。将加大对试点工作的督查指导力度，6月底对各试点工作进行督导考核讲评。</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right="0" w:rightChars="0"/>
        <w:jc w:val="both"/>
        <w:textAlignment w:val="auto"/>
        <w:outlineLvl w:val="9"/>
        <w:rPr>
          <w:rFonts w:hint="eastAsia" w:ascii="仿宋" w:hAnsi="仿宋" w:eastAsia="仿宋" w:cs="仿宋"/>
          <w:b/>
          <w:bCs/>
          <w:snapToGrid/>
          <w:color w:val="auto"/>
          <w:sz w:val="32"/>
          <w:szCs w:val="32"/>
          <w:shd w:val="clear" w:color="auto" w:fill="FFFFFF"/>
        </w:rPr>
      </w:pPr>
      <w:r>
        <w:rPr>
          <w:rFonts w:hint="eastAsia" w:ascii="仿宋" w:hAnsi="仿宋" w:eastAsia="仿宋" w:cs="仿宋"/>
          <w:b/>
          <w:bCs/>
          <w:snapToGrid/>
          <w:color w:val="auto"/>
          <w:sz w:val="32"/>
          <w:szCs w:val="32"/>
          <w:shd w:val="clear" w:color="auto" w:fill="FFFFFF"/>
          <w:lang w:val="en-US" w:eastAsia="zh-CN"/>
        </w:rPr>
        <w:t xml:space="preserve">    </w:t>
      </w:r>
      <w:r>
        <w:rPr>
          <w:rFonts w:hint="eastAsia" w:ascii="楷体" w:hAnsi="楷体" w:eastAsia="楷体" w:cs="楷体"/>
          <w:b w:val="0"/>
          <w:bCs w:val="0"/>
          <w:snapToGrid/>
          <w:color w:val="auto"/>
          <w:sz w:val="32"/>
          <w:szCs w:val="32"/>
          <w:shd w:val="clear" w:color="auto" w:fill="FFFFFF"/>
          <w:lang w:val="en-US" w:eastAsia="zh-CN"/>
        </w:rPr>
        <w:t>（三）</w:t>
      </w:r>
      <w:r>
        <w:rPr>
          <w:rFonts w:hint="eastAsia" w:ascii="楷体" w:hAnsi="楷体" w:eastAsia="楷体" w:cs="楷体"/>
          <w:b w:val="0"/>
          <w:bCs w:val="0"/>
          <w:snapToGrid/>
          <w:color w:val="auto"/>
          <w:sz w:val="32"/>
          <w:szCs w:val="32"/>
          <w:shd w:val="clear" w:color="auto" w:fill="FFFFFF"/>
          <w:lang w:eastAsia="zh-CN"/>
        </w:rPr>
        <w:t>全面建设、总体提升（</w:t>
      </w:r>
      <w:r>
        <w:rPr>
          <w:rFonts w:hint="eastAsia" w:ascii="楷体" w:hAnsi="楷体" w:eastAsia="楷体" w:cs="楷体"/>
          <w:b w:val="0"/>
          <w:bCs w:val="0"/>
          <w:snapToGrid/>
          <w:color w:val="auto"/>
          <w:sz w:val="32"/>
          <w:szCs w:val="32"/>
          <w:shd w:val="clear" w:color="auto" w:fill="FFFFFF"/>
        </w:rPr>
        <w:t>201</w:t>
      </w:r>
      <w:r>
        <w:rPr>
          <w:rFonts w:hint="eastAsia" w:ascii="楷体" w:hAnsi="楷体" w:eastAsia="楷体" w:cs="楷体"/>
          <w:b w:val="0"/>
          <w:bCs w:val="0"/>
          <w:snapToGrid/>
          <w:color w:val="auto"/>
          <w:sz w:val="32"/>
          <w:szCs w:val="32"/>
          <w:shd w:val="clear" w:color="auto" w:fill="FFFFFF"/>
          <w:lang w:val="en-US" w:eastAsia="zh-CN"/>
        </w:rPr>
        <w:t>7</w:t>
      </w:r>
      <w:r>
        <w:rPr>
          <w:rFonts w:hint="eastAsia" w:ascii="楷体" w:hAnsi="楷体" w:eastAsia="楷体" w:cs="楷体"/>
          <w:b w:val="0"/>
          <w:bCs w:val="0"/>
          <w:snapToGrid/>
          <w:color w:val="auto"/>
          <w:sz w:val="32"/>
          <w:szCs w:val="32"/>
          <w:shd w:val="clear" w:color="auto" w:fill="FFFFFF"/>
        </w:rPr>
        <w:t>年</w:t>
      </w:r>
      <w:r>
        <w:rPr>
          <w:rFonts w:hint="eastAsia" w:ascii="楷体" w:hAnsi="楷体" w:eastAsia="楷体" w:cs="楷体"/>
          <w:b w:val="0"/>
          <w:bCs w:val="0"/>
          <w:snapToGrid/>
          <w:color w:val="auto"/>
          <w:sz w:val="32"/>
          <w:szCs w:val="32"/>
          <w:shd w:val="clear" w:color="auto" w:fill="FFFFFF"/>
          <w:lang w:val="en-US" w:eastAsia="zh-CN"/>
        </w:rPr>
        <w:t>7</w:t>
      </w:r>
      <w:r>
        <w:rPr>
          <w:rFonts w:hint="eastAsia" w:ascii="楷体" w:hAnsi="楷体" w:eastAsia="楷体" w:cs="楷体"/>
          <w:b w:val="0"/>
          <w:bCs w:val="0"/>
          <w:snapToGrid/>
          <w:color w:val="auto"/>
          <w:sz w:val="32"/>
          <w:szCs w:val="32"/>
          <w:shd w:val="clear" w:color="auto" w:fill="FFFFFF"/>
        </w:rPr>
        <w:t>月</w:t>
      </w:r>
      <w:r>
        <w:rPr>
          <w:rFonts w:hint="eastAsia" w:ascii="楷体" w:hAnsi="楷体" w:eastAsia="楷体" w:cs="楷体"/>
          <w:b w:val="0"/>
          <w:bCs w:val="0"/>
          <w:snapToGrid/>
          <w:color w:val="auto"/>
          <w:sz w:val="32"/>
          <w:szCs w:val="32"/>
          <w:shd w:val="clear" w:color="auto" w:fill="FFFFFF"/>
          <w:lang w:val="en-US" w:eastAsia="zh-CN"/>
        </w:rPr>
        <w:t>-</w:t>
      </w:r>
      <w:r>
        <w:rPr>
          <w:rFonts w:hint="eastAsia" w:ascii="楷体" w:hAnsi="楷体" w:eastAsia="楷体" w:cs="楷体"/>
          <w:b w:val="0"/>
          <w:bCs w:val="0"/>
          <w:snapToGrid/>
          <w:color w:val="auto"/>
          <w:sz w:val="32"/>
          <w:szCs w:val="32"/>
          <w:shd w:val="clear" w:color="auto" w:fill="FFFFFF"/>
        </w:rPr>
        <w:t>20</w:t>
      </w:r>
      <w:r>
        <w:rPr>
          <w:rFonts w:hint="eastAsia" w:ascii="楷体" w:hAnsi="楷体" w:eastAsia="楷体" w:cs="楷体"/>
          <w:b w:val="0"/>
          <w:bCs w:val="0"/>
          <w:snapToGrid/>
          <w:color w:val="auto"/>
          <w:sz w:val="32"/>
          <w:szCs w:val="32"/>
          <w:shd w:val="clear" w:color="auto" w:fill="FFFFFF"/>
          <w:lang w:val="en-US" w:eastAsia="zh-CN"/>
        </w:rPr>
        <w:t>19</w:t>
      </w:r>
      <w:r>
        <w:rPr>
          <w:rFonts w:hint="eastAsia" w:ascii="楷体" w:hAnsi="楷体" w:eastAsia="楷体" w:cs="楷体"/>
          <w:b w:val="0"/>
          <w:bCs w:val="0"/>
          <w:snapToGrid/>
          <w:color w:val="auto"/>
          <w:sz w:val="32"/>
          <w:szCs w:val="32"/>
          <w:shd w:val="clear" w:color="auto" w:fill="FFFFFF"/>
        </w:rPr>
        <w:t>年</w:t>
      </w:r>
      <w:r>
        <w:rPr>
          <w:rFonts w:hint="eastAsia" w:ascii="楷体" w:hAnsi="楷体" w:eastAsia="楷体" w:cs="楷体"/>
          <w:b w:val="0"/>
          <w:bCs w:val="0"/>
          <w:snapToGrid/>
          <w:color w:val="auto"/>
          <w:sz w:val="32"/>
          <w:szCs w:val="32"/>
          <w:shd w:val="clear" w:color="auto" w:fill="FFFFFF"/>
          <w:lang w:val="en-US" w:eastAsia="zh-CN"/>
        </w:rPr>
        <w:t>6</w:t>
      </w:r>
      <w:r>
        <w:rPr>
          <w:rFonts w:hint="eastAsia" w:ascii="楷体" w:hAnsi="楷体" w:eastAsia="楷体" w:cs="楷体"/>
          <w:b w:val="0"/>
          <w:bCs w:val="0"/>
          <w:snapToGrid/>
          <w:color w:val="auto"/>
          <w:sz w:val="32"/>
          <w:szCs w:val="32"/>
          <w:shd w:val="clear" w:color="auto" w:fill="FFFFFF"/>
        </w:rPr>
        <w:t>月</w:t>
      </w:r>
      <w:r>
        <w:rPr>
          <w:rFonts w:hint="eastAsia" w:ascii="楷体" w:hAnsi="楷体" w:eastAsia="楷体" w:cs="楷体"/>
          <w:b w:val="0"/>
          <w:bCs w:val="0"/>
          <w:snapToGrid/>
          <w:color w:val="auto"/>
          <w:sz w:val="32"/>
          <w:szCs w:val="32"/>
          <w:shd w:val="clear" w:color="auto" w:fill="FFFFFF"/>
          <w:lang w:eastAsia="zh-CN"/>
        </w:rPr>
        <w:t>）</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 w:hAnsi="仿宋" w:eastAsia="仿宋" w:cs="仿宋"/>
          <w:snapToGrid/>
          <w:color w:val="auto"/>
          <w:sz w:val="32"/>
          <w:szCs w:val="32"/>
          <w:shd w:val="clear" w:color="auto" w:fill="FFFFFF"/>
        </w:rPr>
      </w:pPr>
      <w:r>
        <w:rPr>
          <w:rFonts w:hint="eastAsia" w:ascii="仿宋" w:hAnsi="仿宋" w:eastAsia="仿宋" w:cs="仿宋"/>
          <w:snapToGrid/>
          <w:color w:val="auto"/>
          <w:sz w:val="32"/>
          <w:szCs w:val="32"/>
          <w:shd w:val="clear" w:color="auto" w:fill="FFFFFF"/>
          <w:lang w:val="en-US" w:eastAsia="zh-CN"/>
        </w:rPr>
        <w:t>严格</w:t>
      </w:r>
      <w:r>
        <w:rPr>
          <w:rFonts w:hint="eastAsia" w:ascii="仿宋" w:hAnsi="仿宋" w:eastAsia="仿宋" w:cs="仿宋"/>
          <w:snapToGrid/>
          <w:color w:val="auto"/>
          <w:sz w:val="32"/>
          <w:szCs w:val="32"/>
          <w:shd w:val="clear" w:color="auto" w:fill="FFFFFF"/>
        </w:rPr>
        <w:t>按照实施方案的部署安排，对照</w:t>
      </w:r>
      <w:r>
        <w:rPr>
          <w:rFonts w:hint="eastAsia" w:ascii="仿宋" w:hAnsi="仿宋" w:eastAsia="仿宋" w:cs="仿宋"/>
          <w:snapToGrid/>
          <w:color w:val="auto"/>
          <w:sz w:val="32"/>
          <w:szCs w:val="32"/>
          <w:shd w:val="clear" w:color="auto" w:fill="FFFFFF"/>
          <w:lang w:eastAsia="zh-CN"/>
        </w:rPr>
        <w:t>郑州市</w:t>
      </w:r>
      <w:r>
        <w:rPr>
          <w:rFonts w:hint="eastAsia" w:ascii="仿宋" w:hAnsi="仿宋" w:eastAsia="仿宋" w:cs="仿宋"/>
          <w:snapToGrid/>
          <w:color w:val="auto"/>
          <w:sz w:val="32"/>
          <w:szCs w:val="32"/>
          <w:shd w:val="clear" w:color="auto" w:fill="FFFFFF"/>
        </w:rPr>
        <w:t>明确的建设标准，动员</w:t>
      </w:r>
      <w:r>
        <w:rPr>
          <w:rFonts w:hint="eastAsia" w:ascii="仿宋" w:hAnsi="仿宋" w:eastAsia="仿宋" w:cs="仿宋"/>
          <w:snapToGrid/>
          <w:color w:val="auto"/>
          <w:sz w:val="32"/>
          <w:szCs w:val="32"/>
          <w:shd w:val="clear" w:color="auto" w:fill="FFFFFF"/>
          <w:lang w:eastAsia="zh-CN"/>
        </w:rPr>
        <w:t>各街道办事处及相关</w:t>
      </w:r>
      <w:r>
        <w:rPr>
          <w:rFonts w:hint="eastAsia" w:ascii="仿宋" w:hAnsi="仿宋" w:eastAsia="仿宋" w:cs="仿宋"/>
          <w:snapToGrid/>
          <w:color w:val="auto"/>
          <w:sz w:val="32"/>
          <w:szCs w:val="32"/>
          <w:shd w:val="clear" w:color="auto" w:fill="FFFFFF"/>
        </w:rPr>
        <w:t>部门全面推进基层综合性文化服务中心建设，确保</w:t>
      </w:r>
      <w:r>
        <w:rPr>
          <w:rFonts w:hint="eastAsia" w:ascii="仿宋" w:hAnsi="仿宋" w:eastAsia="仿宋" w:cs="仿宋"/>
          <w:snapToGrid/>
          <w:color w:val="auto"/>
          <w:sz w:val="32"/>
          <w:szCs w:val="32"/>
          <w:shd w:val="clear" w:color="auto" w:fill="FFFFFF"/>
          <w:lang w:eastAsia="zh-CN"/>
        </w:rPr>
        <w:t>如期</w:t>
      </w:r>
      <w:r>
        <w:rPr>
          <w:rFonts w:hint="eastAsia" w:ascii="仿宋" w:hAnsi="仿宋" w:eastAsia="仿宋" w:cs="仿宋"/>
          <w:snapToGrid/>
          <w:color w:val="auto"/>
          <w:sz w:val="32"/>
          <w:szCs w:val="32"/>
          <w:shd w:val="clear" w:color="auto" w:fill="FFFFFF"/>
        </w:rPr>
        <w:t>完成各项建设任务，</w:t>
      </w:r>
      <w:r>
        <w:rPr>
          <w:rFonts w:hint="eastAsia" w:ascii="仿宋" w:hAnsi="仿宋" w:eastAsia="仿宋" w:cs="仿宋"/>
          <w:snapToGrid/>
          <w:color w:val="auto"/>
          <w:sz w:val="32"/>
          <w:szCs w:val="32"/>
          <w:shd w:val="clear" w:color="auto" w:fill="FFFFFF"/>
          <w:lang w:eastAsia="zh-CN"/>
        </w:rPr>
        <w:t>做好全市统一标识、挂牌前的各项工作，全面提升</w:t>
      </w:r>
      <w:r>
        <w:rPr>
          <w:rFonts w:hint="eastAsia" w:ascii="仿宋" w:hAnsi="仿宋" w:eastAsia="仿宋" w:cs="仿宋"/>
          <w:snapToGrid/>
          <w:color w:val="auto"/>
          <w:sz w:val="32"/>
          <w:szCs w:val="32"/>
          <w:shd w:val="clear" w:color="auto" w:fill="FFFFFF"/>
        </w:rPr>
        <w:t>我</w:t>
      </w:r>
      <w:r>
        <w:rPr>
          <w:rFonts w:hint="eastAsia" w:ascii="仿宋" w:hAnsi="仿宋" w:eastAsia="仿宋" w:cs="仿宋"/>
          <w:snapToGrid/>
          <w:color w:val="auto"/>
          <w:sz w:val="32"/>
          <w:szCs w:val="32"/>
          <w:shd w:val="clear" w:color="auto" w:fill="FFFFFF"/>
          <w:lang w:eastAsia="zh-CN"/>
        </w:rPr>
        <w:t>区</w:t>
      </w:r>
      <w:r>
        <w:rPr>
          <w:rFonts w:hint="eastAsia" w:ascii="仿宋" w:hAnsi="仿宋" w:eastAsia="仿宋" w:cs="仿宋"/>
          <w:snapToGrid/>
          <w:color w:val="auto"/>
          <w:sz w:val="32"/>
          <w:szCs w:val="32"/>
          <w:shd w:val="clear" w:color="auto" w:fill="FFFFFF"/>
        </w:rPr>
        <w:t>街道、社区（村）的基层综合文化服务效能和水平。</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Chars="200" w:right="0" w:rightChars="0"/>
        <w:jc w:val="both"/>
        <w:textAlignment w:val="auto"/>
        <w:outlineLvl w:val="9"/>
        <w:rPr>
          <w:rFonts w:hint="eastAsia" w:ascii="楷体" w:hAnsi="楷体" w:eastAsia="楷体" w:cs="楷体"/>
          <w:b w:val="0"/>
          <w:bCs w:val="0"/>
          <w:snapToGrid/>
          <w:color w:val="auto"/>
          <w:sz w:val="32"/>
          <w:szCs w:val="32"/>
          <w:shd w:val="clear" w:color="auto" w:fill="FFFFFF"/>
          <w:lang w:eastAsia="zh-CN"/>
        </w:rPr>
      </w:pPr>
      <w:r>
        <w:rPr>
          <w:rFonts w:hint="eastAsia" w:ascii="楷体" w:hAnsi="楷体" w:eastAsia="楷体" w:cs="楷体"/>
          <w:b w:val="0"/>
          <w:bCs w:val="0"/>
          <w:snapToGrid/>
          <w:color w:val="auto"/>
          <w:sz w:val="32"/>
          <w:szCs w:val="32"/>
          <w:shd w:val="clear" w:color="auto" w:fill="FFFFFF"/>
          <w:lang w:eastAsia="zh-CN"/>
        </w:rPr>
        <w:t>（四）检查验收、总结讲评（20</w:t>
      </w:r>
      <w:r>
        <w:rPr>
          <w:rFonts w:hint="eastAsia" w:ascii="楷体" w:hAnsi="楷体" w:eastAsia="楷体" w:cs="楷体"/>
          <w:b w:val="0"/>
          <w:bCs w:val="0"/>
          <w:snapToGrid/>
          <w:color w:val="auto"/>
          <w:sz w:val="32"/>
          <w:szCs w:val="32"/>
          <w:shd w:val="clear" w:color="auto" w:fill="FFFFFF"/>
          <w:lang w:val="en-US" w:eastAsia="zh-CN"/>
        </w:rPr>
        <w:t>19</w:t>
      </w:r>
      <w:r>
        <w:rPr>
          <w:rFonts w:hint="eastAsia" w:ascii="楷体" w:hAnsi="楷体" w:eastAsia="楷体" w:cs="楷体"/>
          <w:b w:val="0"/>
          <w:bCs w:val="0"/>
          <w:snapToGrid/>
          <w:color w:val="auto"/>
          <w:sz w:val="32"/>
          <w:szCs w:val="32"/>
          <w:shd w:val="clear" w:color="auto" w:fill="FFFFFF"/>
          <w:lang w:eastAsia="zh-CN"/>
        </w:rPr>
        <w:t>年</w:t>
      </w:r>
      <w:r>
        <w:rPr>
          <w:rFonts w:hint="eastAsia" w:ascii="楷体" w:hAnsi="楷体" w:eastAsia="楷体" w:cs="楷体"/>
          <w:b w:val="0"/>
          <w:bCs w:val="0"/>
          <w:snapToGrid/>
          <w:color w:val="auto"/>
          <w:sz w:val="32"/>
          <w:szCs w:val="32"/>
          <w:shd w:val="clear" w:color="auto" w:fill="FFFFFF"/>
          <w:lang w:val="en-US" w:eastAsia="zh-CN"/>
        </w:rPr>
        <w:t>7</w:t>
      </w:r>
      <w:r>
        <w:rPr>
          <w:rFonts w:hint="eastAsia" w:ascii="楷体" w:hAnsi="楷体" w:eastAsia="楷体" w:cs="楷体"/>
          <w:b w:val="0"/>
          <w:bCs w:val="0"/>
          <w:snapToGrid/>
          <w:color w:val="auto"/>
          <w:sz w:val="32"/>
          <w:szCs w:val="32"/>
          <w:shd w:val="clear" w:color="auto" w:fill="FFFFFF"/>
          <w:lang w:eastAsia="zh-CN"/>
        </w:rPr>
        <w:t>月</w:t>
      </w:r>
      <w:r>
        <w:rPr>
          <w:rFonts w:hint="eastAsia" w:ascii="楷体" w:hAnsi="楷体" w:eastAsia="楷体" w:cs="楷体"/>
          <w:b w:val="0"/>
          <w:bCs w:val="0"/>
          <w:snapToGrid/>
          <w:color w:val="auto"/>
          <w:sz w:val="32"/>
          <w:szCs w:val="32"/>
          <w:shd w:val="clear" w:color="auto" w:fill="FFFFFF"/>
          <w:lang w:val="en-US" w:eastAsia="zh-CN"/>
        </w:rPr>
        <w:t>-</w:t>
      </w:r>
      <w:r>
        <w:rPr>
          <w:rFonts w:hint="eastAsia" w:ascii="楷体" w:hAnsi="楷体" w:eastAsia="楷体" w:cs="楷体"/>
          <w:b w:val="0"/>
          <w:bCs w:val="0"/>
          <w:snapToGrid/>
          <w:color w:val="auto"/>
          <w:sz w:val="32"/>
          <w:szCs w:val="32"/>
          <w:shd w:val="clear" w:color="auto" w:fill="FFFFFF"/>
          <w:lang w:eastAsia="zh-CN"/>
        </w:rPr>
        <w:t>20</w:t>
      </w:r>
      <w:r>
        <w:rPr>
          <w:rFonts w:hint="eastAsia" w:ascii="楷体" w:hAnsi="楷体" w:eastAsia="楷体" w:cs="楷体"/>
          <w:b w:val="0"/>
          <w:bCs w:val="0"/>
          <w:snapToGrid/>
          <w:color w:val="auto"/>
          <w:sz w:val="32"/>
          <w:szCs w:val="32"/>
          <w:shd w:val="clear" w:color="auto" w:fill="FFFFFF"/>
          <w:lang w:val="en-US" w:eastAsia="zh-CN"/>
        </w:rPr>
        <w:t>19</w:t>
      </w:r>
      <w:r>
        <w:rPr>
          <w:rFonts w:hint="eastAsia" w:ascii="楷体" w:hAnsi="楷体" w:eastAsia="楷体" w:cs="楷体"/>
          <w:b w:val="0"/>
          <w:bCs w:val="0"/>
          <w:snapToGrid/>
          <w:color w:val="auto"/>
          <w:sz w:val="32"/>
          <w:szCs w:val="32"/>
          <w:shd w:val="clear" w:color="auto" w:fill="FFFFFF"/>
          <w:lang w:eastAsia="zh-CN"/>
        </w:rPr>
        <w:t>年</w:t>
      </w:r>
      <w:r>
        <w:rPr>
          <w:rFonts w:hint="eastAsia" w:ascii="楷体" w:hAnsi="楷体" w:eastAsia="楷体" w:cs="楷体"/>
          <w:b w:val="0"/>
          <w:bCs w:val="0"/>
          <w:snapToGrid/>
          <w:color w:val="auto"/>
          <w:sz w:val="32"/>
          <w:szCs w:val="32"/>
          <w:shd w:val="clear" w:color="auto" w:fill="FFFFFF"/>
          <w:lang w:val="en-US" w:eastAsia="zh-CN"/>
        </w:rPr>
        <w:t>9</w:t>
      </w:r>
      <w:r>
        <w:rPr>
          <w:rFonts w:hint="eastAsia" w:ascii="楷体" w:hAnsi="楷体" w:eastAsia="楷体" w:cs="楷体"/>
          <w:b w:val="0"/>
          <w:bCs w:val="0"/>
          <w:snapToGrid/>
          <w:color w:val="auto"/>
          <w:sz w:val="32"/>
          <w:szCs w:val="32"/>
          <w:shd w:val="clear" w:color="auto" w:fill="FFFFFF"/>
          <w:lang w:eastAsia="zh-CN"/>
        </w:rPr>
        <w:t>月）</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 w:hAnsi="仿宋" w:eastAsia="仿宋" w:cs="仿宋"/>
          <w:snapToGrid/>
          <w:color w:val="auto"/>
          <w:sz w:val="32"/>
          <w:szCs w:val="32"/>
          <w:shd w:val="clear" w:color="auto" w:fill="FFFFFF"/>
          <w:lang w:eastAsia="zh-CN"/>
        </w:rPr>
      </w:pPr>
      <w:r>
        <w:rPr>
          <w:rFonts w:hint="eastAsia" w:ascii="仿宋" w:hAnsi="仿宋" w:eastAsia="仿宋" w:cs="仿宋"/>
          <w:snapToGrid/>
          <w:color w:val="auto"/>
          <w:sz w:val="32"/>
          <w:szCs w:val="32"/>
          <w:shd w:val="clear" w:color="auto" w:fill="FFFFFF"/>
          <w:lang w:eastAsia="zh-CN"/>
        </w:rPr>
        <w:t>在各街道办事处做好自查的基础上，我区依据市有关建设标准，组织验收组对各街道办事处建设情况进行检查验收。同时对全区基层综合性文化服务中心建设情况进行全面总结，</w:t>
      </w:r>
      <w:r>
        <w:rPr>
          <w:rFonts w:hint="eastAsia" w:ascii="仿宋" w:hAnsi="仿宋" w:eastAsia="仿宋" w:cs="仿宋"/>
          <w:snapToGrid/>
          <w:color w:val="auto"/>
          <w:sz w:val="32"/>
          <w:szCs w:val="32"/>
          <w:shd w:val="clear" w:color="auto" w:fill="FFFFFF"/>
        </w:rPr>
        <w:t>进一步查漏补缺、总结经验、完善机制，</w:t>
      </w:r>
      <w:r>
        <w:rPr>
          <w:rFonts w:hint="eastAsia" w:ascii="仿宋" w:hAnsi="仿宋" w:eastAsia="仿宋" w:cs="仿宋"/>
          <w:snapToGrid/>
          <w:color w:val="auto"/>
          <w:sz w:val="32"/>
          <w:szCs w:val="32"/>
          <w:shd w:val="clear" w:color="auto" w:fill="FFFFFF"/>
          <w:lang w:eastAsia="zh-CN"/>
        </w:rPr>
        <w:t>做好迎接省、市检查验收的相关准备工作。</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Chars="200" w:right="0" w:rightChars="0"/>
        <w:jc w:val="both"/>
        <w:textAlignment w:val="auto"/>
        <w:outlineLvl w:val="9"/>
        <w:rPr>
          <w:rFonts w:hint="eastAsia" w:ascii="楷体" w:hAnsi="楷体" w:eastAsia="楷体" w:cs="楷体"/>
          <w:b w:val="0"/>
          <w:bCs w:val="0"/>
          <w:snapToGrid/>
          <w:color w:val="auto"/>
          <w:sz w:val="32"/>
          <w:szCs w:val="32"/>
          <w:shd w:val="clear" w:color="auto" w:fill="FFFFFF"/>
          <w:lang w:val="en-US" w:eastAsia="zh-CN"/>
        </w:rPr>
      </w:pPr>
      <w:r>
        <w:rPr>
          <w:rFonts w:hint="eastAsia" w:ascii="楷体" w:hAnsi="楷体" w:eastAsia="楷体" w:cs="楷体"/>
          <w:b w:val="0"/>
          <w:bCs w:val="0"/>
          <w:snapToGrid/>
          <w:color w:val="auto"/>
          <w:sz w:val="32"/>
          <w:szCs w:val="32"/>
          <w:shd w:val="clear" w:color="auto" w:fill="FFFFFF"/>
          <w:lang w:eastAsia="zh-CN"/>
        </w:rPr>
        <w:t>（五）整改完善、巩固提高（</w:t>
      </w:r>
      <w:r>
        <w:rPr>
          <w:rFonts w:hint="eastAsia" w:ascii="楷体" w:hAnsi="楷体" w:eastAsia="楷体" w:cs="楷体"/>
          <w:b w:val="0"/>
          <w:bCs w:val="0"/>
          <w:snapToGrid/>
          <w:color w:val="auto"/>
          <w:sz w:val="32"/>
          <w:szCs w:val="32"/>
          <w:shd w:val="clear" w:color="auto" w:fill="FFFFFF"/>
          <w:lang w:val="en-US" w:eastAsia="zh-CN"/>
        </w:rPr>
        <w:t>2019年10月-</w:t>
      </w:r>
      <w:r>
        <w:rPr>
          <w:rFonts w:hint="eastAsia" w:ascii="楷体" w:hAnsi="楷体" w:eastAsia="楷体" w:cs="楷体"/>
          <w:b w:val="0"/>
          <w:bCs w:val="0"/>
          <w:snapToGrid/>
          <w:color w:val="auto"/>
          <w:sz w:val="32"/>
          <w:szCs w:val="32"/>
          <w:shd w:val="clear" w:color="auto" w:fill="FFFFFF"/>
          <w:lang w:eastAsia="zh-CN"/>
        </w:rPr>
        <w:t>20</w:t>
      </w:r>
      <w:r>
        <w:rPr>
          <w:rFonts w:hint="eastAsia" w:ascii="楷体" w:hAnsi="楷体" w:eastAsia="楷体" w:cs="楷体"/>
          <w:b w:val="0"/>
          <w:bCs w:val="0"/>
          <w:snapToGrid/>
          <w:color w:val="auto"/>
          <w:sz w:val="32"/>
          <w:szCs w:val="32"/>
          <w:shd w:val="clear" w:color="auto" w:fill="FFFFFF"/>
          <w:lang w:val="en-US" w:eastAsia="zh-CN"/>
        </w:rPr>
        <w:t>19</w:t>
      </w:r>
      <w:r>
        <w:rPr>
          <w:rFonts w:hint="eastAsia" w:ascii="楷体" w:hAnsi="楷体" w:eastAsia="楷体" w:cs="楷体"/>
          <w:b w:val="0"/>
          <w:bCs w:val="0"/>
          <w:snapToGrid/>
          <w:color w:val="auto"/>
          <w:sz w:val="32"/>
          <w:szCs w:val="32"/>
          <w:shd w:val="clear" w:color="auto" w:fill="FFFFFF"/>
          <w:lang w:eastAsia="zh-CN"/>
        </w:rPr>
        <w:t>年</w:t>
      </w:r>
      <w:r>
        <w:rPr>
          <w:rFonts w:hint="eastAsia" w:ascii="楷体" w:hAnsi="楷体" w:eastAsia="楷体" w:cs="楷体"/>
          <w:b w:val="0"/>
          <w:bCs w:val="0"/>
          <w:snapToGrid/>
          <w:color w:val="auto"/>
          <w:sz w:val="32"/>
          <w:szCs w:val="32"/>
          <w:shd w:val="clear" w:color="auto" w:fill="FFFFFF"/>
          <w:lang w:val="en-US" w:eastAsia="zh-CN"/>
        </w:rPr>
        <w:t>12</w:t>
      </w:r>
      <w:r>
        <w:rPr>
          <w:rFonts w:hint="eastAsia" w:ascii="楷体" w:hAnsi="楷体" w:eastAsia="楷体" w:cs="楷体"/>
          <w:b w:val="0"/>
          <w:bCs w:val="0"/>
          <w:snapToGrid/>
          <w:color w:val="auto"/>
          <w:sz w:val="32"/>
          <w:szCs w:val="32"/>
          <w:shd w:val="clear" w:color="auto" w:fill="FFFFFF"/>
          <w:lang w:eastAsia="zh-CN"/>
        </w:rPr>
        <w:t>月）</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jc w:val="both"/>
        <w:textAlignment w:val="auto"/>
        <w:outlineLvl w:val="9"/>
        <w:rPr>
          <w:rFonts w:hint="eastAsia" w:ascii="仿宋" w:hAnsi="仿宋" w:eastAsia="仿宋" w:cs="仿宋"/>
          <w:snapToGrid/>
          <w:color w:val="auto"/>
          <w:sz w:val="32"/>
          <w:szCs w:val="32"/>
          <w:shd w:val="clear" w:color="auto" w:fill="FFFFFF"/>
          <w:lang w:eastAsia="zh-CN"/>
        </w:rPr>
      </w:pPr>
      <w:r>
        <w:rPr>
          <w:rFonts w:hint="eastAsia" w:ascii="仿宋" w:hAnsi="仿宋" w:eastAsia="仿宋" w:cs="仿宋"/>
          <w:snapToGrid/>
          <w:color w:val="auto"/>
          <w:sz w:val="32"/>
          <w:szCs w:val="32"/>
          <w:shd w:val="clear" w:color="auto" w:fill="FFFFFF"/>
          <w:lang w:val="en-US" w:eastAsia="zh-CN"/>
        </w:rPr>
        <w:t xml:space="preserve">    </w:t>
      </w:r>
      <w:r>
        <w:rPr>
          <w:rFonts w:hint="eastAsia" w:ascii="仿宋" w:hAnsi="仿宋" w:eastAsia="仿宋" w:cs="仿宋"/>
          <w:snapToGrid/>
          <w:color w:val="auto"/>
          <w:sz w:val="32"/>
          <w:szCs w:val="32"/>
          <w:shd w:val="clear" w:color="auto" w:fill="FFFFFF"/>
          <w:lang w:eastAsia="zh-CN"/>
        </w:rPr>
        <w:t>结合省、市验收情况，对检查中发现的问题进行整改，</w:t>
      </w:r>
      <w:r>
        <w:rPr>
          <w:rFonts w:hint="eastAsia" w:ascii="仿宋" w:hAnsi="仿宋" w:eastAsia="仿宋" w:cs="仿宋"/>
          <w:snapToGrid/>
          <w:color w:val="auto"/>
          <w:sz w:val="32"/>
          <w:szCs w:val="32"/>
          <w:shd w:val="clear" w:color="auto" w:fill="FFFFFF"/>
        </w:rPr>
        <w:t>进一步巩固工作成果，完善各项硬件配套和管理运行机制，</w:t>
      </w:r>
      <w:r>
        <w:rPr>
          <w:rFonts w:hint="eastAsia" w:ascii="仿宋" w:hAnsi="仿宋" w:eastAsia="仿宋" w:cs="仿宋"/>
          <w:snapToGrid/>
          <w:color w:val="auto"/>
          <w:sz w:val="32"/>
          <w:szCs w:val="32"/>
          <w:shd w:val="clear" w:color="auto" w:fill="FFFFFF"/>
          <w:lang w:eastAsia="zh-CN"/>
        </w:rPr>
        <w:t>全面提高我区基层综合性文化服务中心建设和服务水平，</w:t>
      </w:r>
      <w:r>
        <w:rPr>
          <w:rFonts w:hint="eastAsia" w:ascii="仿宋" w:hAnsi="仿宋" w:eastAsia="仿宋" w:cs="仿宋"/>
          <w:snapToGrid/>
          <w:color w:val="auto"/>
          <w:sz w:val="32"/>
          <w:szCs w:val="32"/>
          <w:shd w:val="clear" w:color="auto" w:fill="FFFFFF"/>
        </w:rPr>
        <w:t>力争把我</w:t>
      </w:r>
      <w:r>
        <w:rPr>
          <w:rFonts w:hint="eastAsia" w:ascii="仿宋" w:hAnsi="仿宋" w:eastAsia="仿宋" w:cs="仿宋"/>
          <w:snapToGrid/>
          <w:color w:val="auto"/>
          <w:sz w:val="32"/>
          <w:szCs w:val="32"/>
          <w:shd w:val="clear" w:color="auto" w:fill="FFFFFF"/>
          <w:lang w:eastAsia="zh-CN"/>
        </w:rPr>
        <w:t>区</w:t>
      </w:r>
      <w:r>
        <w:rPr>
          <w:rFonts w:hint="eastAsia" w:ascii="仿宋" w:hAnsi="仿宋" w:eastAsia="仿宋" w:cs="仿宋"/>
          <w:snapToGrid/>
          <w:color w:val="auto"/>
          <w:sz w:val="32"/>
          <w:szCs w:val="32"/>
          <w:shd w:val="clear" w:color="auto" w:fill="FFFFFF"/>
        </w:rPr>
        <w:t>的基层综合性文化服务中心建设成为管理规范、运行科学、活动项目丰富、惠民服务高效的综合平台。</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黑体" w:hAnsi="黑体" w:eastAsia="黑体" w:cs="黑体"/>
          <w:b w:val="0"/>
          <w:bCs/>
          <w:snapToGrid/>
          <w:color w:val="auto"/>
          <w:sz w:val="32"/>
          <w:szCs w:val="32"/>
          <w:shd w:val="clear" w:color="auto" w:fill="FFFFFF"/>
          <w:lang w:val="en-US" w:eastAsia="zh-CN"/>
        </w:rPr>
      </w:pPr>
      <w:r>
        <w:rPr>
          <w:rFonts w:hint="eastAsia" w:ascii="黑体" w:hAnsi="黑体" w:eastAsia="黑体" w:cs="黑体"/>
          <w:b w:val="0"/>
          <w:bCs/>
          <w:snapToGrid/>
          <w:color w:val="auto"/>
          <w:sz w:val="32"/>
          <w:szCs w:val="32"/>
          <w:shd w:val="clear" w:color="auto" w:fill="FFFFFF"/>
          <w:lang w:val="en-US" w:eastAsia="zh-CN"/>
        </w:rPr>
        <w:t>四、工作要求</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 w:hAnsi="仿宋" w:eastAsia="仿宋" w:cs="仿宋"/>
          <w:b/>
          <w:bCs/>
          <w:snapToGrid/>
          <w:color w:val="auto"/>
          <w:sz w:val="32"/>
          <w:szCs w:val="32"/>
          <w:shd w:val="clear" w:color="auto" w:fill="FFFFFF"/>
          <w:lang w:eastAsia="zh-CN"/>
        </w:rPr>
      </w:pPr>
      <w:r>
        <w:rPr>
          <w:rFonts w:hint="eastAsia" w:ascii="楷体" w:hAnsi="楷体" w:eastAsia="楷体" w:cs="楷体"/>
          <w:b w:val="0"/>
          <w:bCs w:val="0"/>
          <w:snapToGrid/>
          <w:color w:val="auto"/>
          <w:sz w:val="32"/>
          <w:szCs w:val="32"/>
          <w:shd w:val="clear" w:color="auto" w:fill="FFFFFF"/>
          <w:lang w:eastAsia="zh-CN"/>
        </w:rPr>
        <w:t>（一）高度重视，加强组织领导</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 w:hAnsi="仿宋" w:eastAsia="仿宋" w:cs="仿宋"/>
          <w:snapToGrid/>
          <w:color w:val="auto"/>
          <w:sz w:val="32"/>
          <w:szCs w:val="32"/>
          <w:shd w:val="clear" w:color="auto" w:fill="FFFFFF"/>
        </w:rPr>
      </w:pPr>
      <w:r>
        <w:rPr>
          <w:rFonts w:hint="eastAsia" w:ascii="仿宋" w:hAnsi="仿宋" w:eastAsia="仿宋" w:cs="仿宋"/>
          <w:snapToGrid/>
          <w:color w:val="auto"/>
          <w:sz w:val="32"/>
          <w:szCs w:val="32"/>
          <w:shd w:val="clear" w:color="auto" w:fill="FFFFFF"/>
          <w:lang w:val="en-US" w:eastAsia="zh-CN"/>
        </w:rPr>
        <w:t>各街道办事处</w:t>
      </w:r>
      <w:r>
        <w:rPr>
          <w:rFonts w:hint="eastAsia" w:ascii="仿宋" w:hAnsi="仿宋" w:eastAsia="仿宋" w:cs="仿宋"/>
          <w:snapToGrid/>
          <w:color w:val="auto"/>
          <w:sz w:val="32"/>
          <w:szCs w:val="32"/>
          <w:shd w:val="clear" w:color="auto" w:fill="FFFFFF"/>
        </w:rPr>
        <w:t>要高度重视基层综合性文化服务中心建设工作，</w:t>
      </w:r>
      <w:r>
        <w:rPr>
          <w:rFonts w:hint="eastAsia" w:ascii="仿宋" w:hAnsi="仿宋" w:eastAsia="仿宋" w:cs="仿宋"/>
          <w:snapToGrid/>
          <w:color w:val="auto"/>
          <w:sz w:val="32"/>
          <w:szCs w:val="32"/>
          <w:shd w:val="clear" w:color="auto" w:fill="FFFFFF"/>
          <w:lang w:eastAsia="zh-CN"/>
        </w:rPr>
        <w:t>建立组织，健全机制，</w:t>
      </w:r>
      <w:r>
        <w:rPr>
          <w:rFonts w:hint="eastAsia" w:ascii="仿宋" w:hAnsi="仿宋" w:eastAsia="仿宋" w:cs="仿宋"/>
          <w:snapToGrid/>
          <w:color w:val="auto"/>
          <w:sz w:val="32"/>
          <w:szCs w:val="32"/>
          <w:shd w:val="clear" w:color="auto" w:fill="FFFFFF"/>
        </w:rPr>
        <w:t>切实加强组织领导和统筹协调，把基层综合性文化服务中心建设纳入构建现代公共文化服务体系的重要内容，对接相关规划，结合基本公共服务均等化及新型城镇化建设等工作。</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right="0" w:rightChars="0"/>
        <w:jc w:val="both"/>
        <w:textAlignment w:val="auto"/>
        <w:outlineLvl w:val="9"/>
        <w:rPr>
          <w:rFonts w:hint="eastAsia" w:ascii="仿宋" w:hAnsi="仿宋" w:eastAsia="仿宋" w:cs="仿宋"/>
          <w:b/>
          <w:bCs/>
          <w:snapToGrid/>
          <w:color w:val="auto"/>
          <w:sz w:val="32"/>
          <w:szCs w:val="32"/>
          <w:shd w:val="clear" w:color="auto" w:fill="FFFFFF"/>
          <w:lang w:eastAsia="zh-CN"/>
        </w:rPr>
      </w:pPr>
      <w:r>
        <w:rPr>
          <w:rFonts w:hint="eastAsia" w:ascii="仿宋" w:hAnsi="仿宋" w:eastAsia="仿宋" w:cs="仿宋"/>
          <w:b/>
          <w:bCs/>
          <w:snapToGrid/>
          <w:color w:val="auto"/>
          <w:sz w:val="32"/>
          <w:szCs w:val="32"/>
          <w:shd w:val="clear" w:color="auto" w:fill="FFFFFF"/>
          <w:lang w:val="en-US" w:eastAsia="zh-CN"/>
        </w:rPr>
        <w:t xml:space="preserve">    </w:t>
      </w:r>
      <w:r>
        <w:rPr>
          <w:rFonts w:hint="eastAsia" w:ascii="楷体" w:hAnsi="楷体" w:eastAsia="楷体" w:cs="楷体"/>
          <w:b w:val="0"/>
          <w:bCs w:val="0"/>
          <w:snapToGrid/>
          <w:color w:val="auto"/>
          <w:sz w:val="32"/>
          <w:szCs w:val="32"/>
          <w:shd w:val="clear" w:color="auto" w:fill="FFFFFF"/>
          <w:lang w:val="en-US" w:eastAsia="zh-CN"/>
        </w:rPr>
        <w:t>（二）</w:t>
      </w:r>
      <w:r>
        <w:rPr>
          <w:rFonts w:hint="eastAsia" w:ascii="楷体" w:hAnsi="楷体" w:eastAsia="楷体" w:cs="楷体"/>
          <w:b w:val="0"/>
          <w:bCs w:val="0"/>
          <w:snapToGrid/>
          <w:color w:val="auto"/>
          <w:sz w:val="32"/>
          <w:szCs w:val="32"/>
          <w:shd w:val="clear" w:color="auto" w:fill="FFFFFF"/>
          <w:lang w:eastAsia="zh-CN"/>
        </w:rPr>
        <w:t>加大投入，落实资金保障</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right="0" w:rightChars="0"/>
        <w:jc w:val="both"/>
        <w:textAlignment w:val="auto"/>
        <w:outlineLvl w:val="9"/>
        <w:rPr>
          <w:rFonts w:hint="eastAsia" w:ascii="仿宋" w:hAnsi="仿宋" w:eastAsia="仿宋" w:cs="仿宋"/>
          <w:snapToGrid/>
          <w:color w:val="auto"/>
          <w:sz w:val="32"/>
          <w:szCs w:val="32"/>
          <w:shd w:val="clear" w:color="auto" w:fill="FFFFFF"/>
        </w:rPr>
      </w:pPr>
      <w:r>
        <w:rPr>
          <w:rFonts w:hint="eastAsia" w:ascii="仿宋" w:hAnsi="仿宋" w:eastAsia="仿宋" w:cs="仿宋"/>
          <w:b w:val="0"/>
          <w:bCs w:val="0"/>
          <w:snapToGrid/>
          <w:color w:val="auto"/>
          <w:sz w:val="32"/>
          <w:szCs w:val="32"/>
          <w:shd w:val="clear" w:color="auto" w:fill="FFFFFF"/>
          <w:lang w:val="en-US" w:eastAsia="zh-CN"/>
        </w:rPr>
        <w:t xml:space="preserve">    </w:t>
      </w:r>
      <w:r>
        <w:rPr>
          <w:rFonts w:hint="eastAsia" w:ascii="仿宋" w:hAnsi="仿宋" w:eastAsia="仿宋" w:cs="仿宋"/>
          <w:snapToGrid/>
          <w:color w:val="auto"/>
          <w:sz w:val="32"/>
          <w:szCs w:val="32"/>
          <w:shd w:val="clear" w:color="auto" w:fill="FFFFFF"/>
        </w:rPr>
        <w:t>将基层综合性文化服务中心建设所需资金纳入财政预算，</w:t>
      </w:r>
      <w:r>
        <w:rPr>
          <w:rFonts w:hint="eastAsia" w:ascii="仿宋" w:hAnsi="仿宋" w:eastAsia="仿宋" w:cs="仿宋"/>
          <w:snapToGrid/>
          <w:color w:val="auto"/>
          <w:sz w:val="32"/>
          <w:szCs w:val="32"/>
          <w:shd w:val="clear" w:color="auto" w:fill="FFFFFF"/>
          <w:lang w:eastAsia="zh-CN"/>
        </w:rPr>
        <w:t>各街道办事处也要有配套资金支持基层综合性文化服务中心建设</w:t>
      </w:r>
      <w:r>
        <w:rPr>
          <w:rFonts w:hint="eastAsia" w:ascii="仿宋" w:hAnsi="仿宋" w:eastAsia="仿宋" w:cs="仿宋"/>
          <w:snapToGrid/>
          <w:color w:val="auto"/>
          <w:sz w:val="32"/>
          <w:szCs w:val="32"/>
          <w:shd w:val="clear" w:color="auto" w:fill="FFFFFF"/>
          <w:lang w:val="en-US" w:eastAsia="zh-CN"/>
        </w:rPr>
        <w:t>，</w:t>
      </w:r>
      <w:r>
        <w:rPr>
          <w:rFonts w:hint="eastAsia" w:ascii="仿宋" w:hAnsi="仿宋" w:eastAsia="仿宋" w:cs="仿宋"/>
          <w:snapToGrid/>
          <w:color w:val="auto"/>
          <w:sz w:val="32"/>
          <w:szCs w:val="32"/>
          <w:shd w:val="clear" w:color="auto" w:fill="FFFFFF"/>
        </w:rPr>
        <w:t>加大资金投入。拓宽公共文化服务的投入渠道，不断完善经费保障机制，落实税收优惠政策，吸引社会力量参与基层综合性文化服务中心建设。</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Chars="200" w:right="0" w:rightChars="0"/>
        <w:jc w:val="both"/>
        <w:textAlignment w:val="auto"/>
        <w:outlineLvl w:val="9"/>
        <w:rPr>
          <w:rFonts w:hint="eastAsia" w:ascii="楷体" w:hAnsi="楷体" w:eastAsia="楷体" w:cs="楷体"/>
          <w:b w:val="0"/>
          <w:bCs w:val="0"/>
          <w:snapToGrid/>
          <w:color w:val="auto"/>
          <w:sz w:val="32"/>
          <w:szCs w:val="32"/>
          <w:shd w:val="clear" w:color="auto" w:fill="FFFFFF"/>
          <w:lang w:eastAsia="zh-CN"/>
        </w:rPr>
      </w:pPr>
      <w:r>
        <w:rPr>
          <w:rFonts w:hint="eastAsia" w:ascii="楷体" w:hAnsi="楷体" w:eastAsia="楷体" w:cs="楷体"/>
          <w:b w:val="0"/>
          <w:bCs w:val="0"/>
          <w:snapToGrid/>
          <w:color w:val="auto"/>
          <w:sz w:val="32"/>
          <w:szCs w:val="32"/>
          <w:shd w:val="clear" w:color="auto" w:fill="FFFFFF"/>
          <w:lang w:eastAsia="zh-CN"/>
        </w:rPr>
        <w:t>（三）多策并举，加强队伍建设</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right="0" w:rightChars="0"/>
        <w:jc w:val="both"/>
        <w:textAlignment w:val="auto"/>
        <w:outlineLvl w:val="9"/>
        <w:rPr>
          <w:rFonts w:hint="eastAsia" w:ascii="仿宋" w:hAnsi="仿宋" w:eastAsia="仿宋" w:cs="仿宋"/>
          <w:snapToGrid/>
          <w:color w:val="auto"/>
          <w:sz w:val="32"/>
          <w:szCs w:val="32"/>
          <w:shd w:val="clear" w:color="auto" w:fill="FFFFFF"/>
        </w:rPr>
      </w:pPr>
      <w:r>
        <w:rPr>
          <w:rFonts w:hint="eastAsia" w:ascii="仿宋" w:hAnsi="仿宋" w:eastAsia="仿宋" w:cs="仿宋"/>
          <w:snapToGrid/>
          <w:color w:val="auto"/>
          <w:sz w:val="32"/>
          <w:szCs w:val="32"/>
          <w:shd w:val="clear" w:color="auto" w:fill="FFFFFF"/>
          <w:lang w:val="en-US" w:eastAsia="zh-CN"/>
        </w:rPr>
        <w:t xml:space="preserve">    各街道办事处</w:t>
      </w:r>
      <w:r>
        <w:rPr>
          <w:rFonts w:hint="eastAsia" w:ascii="仿宋" w:hAnsi="仿宋" w:eastAsia="仿宋" w:cs="仿宋"/>
          <w:snapToGrid/>
          <w:color w:val="auto"/>
          <w:sz w:val="32"/>
          <w:szCs w:val="32"/>
          <w:shd w:val="clear" w:color="auto" w:fill="FFFFFF"/>
          <w:lang w:eastAsia="zh-CN"/>
        </w:rPr>
        <w:t>要按照《郑州市基层</w:t>
      </w:r>
      <w:r>
        <w:rPr>
          <w:rFonts w:hint="eastAsia" w:ascii="仿宋" w:hAnsi="仿宋" w:eastAsia="仿宋" w:cs="仿宋"/>
          <w:snapToGrid/>
          <w:color w:val="auto"/>
          <w:sz w:val="32"/>
          <w:szCs w:val="32"/>
          <w:shd w:val="clear" w:color="auto" w:fill="FFFFFF"/>
        </w:rPr>
        <w:t>综合性文化服务中心建设标准</w:t>
      </w:r>
      <w:r>
        <w:rPr>
          <w:rFonts w:hint="eastAsia" w:ascii="仿宋" w:hAnsi="仿宋" w:eastAsia="仿宋" w:cs="仿宋"/>
          <w:snapToGrid/>
          <w:color w:val="auto"/>
          <w:sz w:val="32"/>
          <w:szCs w:val="32"/>
          <w:shd w:val="clear" w:color="auto" w:fill="FFFFFF"/>
          <w:lang w:eastAsia="zh-CN"/>
        </w:rPr>
        <w:t>》</w:t>
      </w:r>
      <w:r>
        <w:rPr>
          <w:rFonts w:hint="eastAsia" w:ascii="仿宋" w:hAnsi="仿宋" w:eastAsia="仿宋" w:cs="仿宋"/>
          <w:snapToGrid/>
          <w:color w:val="auto"/>
          <w:sz w:val="32"/>
          <w:szCs w:val="32"/>
          <w:shd w:val="clear" w:color="auto" w:fill="FFFFFF"/>
          <w:lang w:val="en-US" w:eastAsia="zh-CN"/>
        </w:rPr>
        <w:t>要求，</w:t>
      </w:r>
      <w:r>
        <w:rPr>
          <w:rFonts w:hint="eastAsia" w:ascii="仿宋" w:hAnsi="仿宋" w:eastAsia="仿宋" w:cs="仿宋"/>
          <w:snapToGrid/>
          <w:color w:val="auto"/>
          <w:sz w:val="32"/>
          <w:szCs w:val="32"/>
          <w:shd w:val="clear" w:color="auto" w:fill="FFFFFF"/>
        </w:rPr>
        <w:t>配</w:t>
      </w:r>
      <w:r>
        <w:rPr>
          <w:rFonts w:hint="eastAsia" w:ascii="仿宋" w:hAnsi="仿宋" w:eastAsia="仿宋" w:cs="仿宋"/>
          <w:snapToGrid/>
          <w:color w:val="auto"/>
          <w:sz w:val="32"/>
          <w:szCs w:val="32"/>
          <w:shd w:val="clear" w:color="auto" w:fill="FFFFFF"/>
          <w:lang w:eastAsia="zh-CN"/>
        </w:rPr>
        <w:t>齐</w:t>
      </w:r>
      <w:r>
        <w:rPr>
          <w:rFonts w:hint="eastAsia" w:ascii="仿宋" w:hAnsi="仿宋" w:eastAsia="仿宋" w:cs="仿宋"/>
          <w:snapToGrid/>
          <w:color w:val="auto"/>
          <w:sz w:val="32"/>
          <w:szCs w:val="32"/>
          <w:shd w:val="clear" w:color="auto" w:fill="FFFFFF"/>
        </w:rPr>
        <w:t>街道</w:t>
      </w:r>
      <w:r>
        <w:rPr>
          <w:rFonts w:hint="eastAsia" w:ascii="仿宋" w:hAnsi="仿宋" w:eastAsia="仿宋" w:cs="仿宋"/>
          <w:snapToGrid/>
          <w:color w:val="auto"/>
          <w:sz w:val="32"/>
          <w:szCs w:val="32"/>
          <w:shd w:val="clear" w:color="auto" w:fill="FFFFFF"/>
          <w:lang w:eastAsia="zh-CN"/>
        </w:rPr>
        <w:t>、行政</w:t>
      </w:r>
      <w:r>
        <w:rPr>
          <w:rFonts w:hint="eastAsia" w:ascii="仿宋" w:hAnsi="仿宋" w:eastAsia="仿宋" w:cs="仿宋"/>
          <w:snapToGrid/>
          <w:color w:val="auto"/>
          <w:sz w:val="32"/>
          <w:szCs w:val="32"/>
          <w:shd w:val="clear" w:color="auto" w:fill="FFFFFF"/>
        </w:rPr>
        <w:t>村（社区）</w:t>
      </w:r>
      <w:r>
        <w:rPr>
          <w:rFonts w:hint="eastAsia" w:ascii="仿宋" w:hAnsi="仿宋" w:eastAsia="仿宋" w:cs="仿宋"/>
          <w:snapToGrid/>
          <w:color w:val="auto"/>
          <w:sz w:val="32"/>
          <w:szCs w:val="32"/>
          <w:shd w:val="clear" w:color="auto" w:fill="FFFFFF"/>
          <w:lang w:eastAsia="zh-CN"/>
        </w:rPr>
        <w:t>文化工作人员。也可通过区、街道统筹和购买服务等方式解决人员不足问题。</w:t>
      </w:r>
      <w:r>
        <w:rPr>
          <w:rFonts w:hint="eastAsia" w:ascii="仿宋" w:hAnsi="仿宋" w:eastAsia="仿宋" w:cs="仿宋"/>
          <w:snapToGrid/>
          <w:color w:val="auto"/>
          <w:sz w:val="32"/>
          <w:szCs w:val="32"/>
          <w:shd w:val="clear" w:color="auto" w:fill="FFFFFF"/>
        </w:rPr>
        <w:t>鼓励大学毕业生、大学生村官、志愿者等专兼职从事基层综合性文化服务中心管理服务工作。加强业务培训，提升基层公共文化从业人员的业务素质。</w:t>
      </w:r>
      <w:r>
        <w:rPr>
          <w:rFonts w:hint="eastAsia" w:ascii="仿宋" w:hAnsi="仿宋" w:eastAsia="仿宋" w:cs="仿宋"/>
          <w:snapToGrid/>
          <w:color w:val="auto"/>
          <w:sz w:val="32"/>
          <w:szCs w:val="32"/>
          <w:shd w:val="clear" w:color="auto" w:fill="FFFFFF"/>
          <w:lang w:eastAsia="zh-CN"/>
        </w:rPr>
        <w:t>每个行政村（社区）建立不少于</w:t>
      </w:r>
      <w:r>
        <w:rPr>
          <w:rFonts w:hint="eastAsia" w:ascii="仿宋" w:hAnsi="仿宋" w:eastAsia="仿宋" w:cs="仿宋"/>
          <w:snapToGrid/>
          <w:color w:val="auto"/>
          <w:sz w:val="32"/>
          <w:szCs w:val="32"/>
          <w:shd w:val="clear" w:color="auto" w:fill="FFFFFF"/>
          <w:lang w:val="en-US" w:eastAsia="zh-CN"/>
        </w:rPr>
        <w:t>1支的业余文艺团队。</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Chars="200" w:right="0" w:rightChars="0"/>
        <w:jc w:val="both"/>
        <w:textAlignment w:val="auto"/>
        <w:outlineLvl w:val="9"/>
        <w:rPr>
          <w:rFonts w:hint="eastAsia" w:ascii="楷体" w:hAnsi="楷体" w:eastAsia="楷体" w:cs="楷体"/>
          <w:b w:val="0"/>
          <w:bCs w:val="0"/>
          <w:snapToGrid/>
          <w:color w:val="auto"/>
          <w:sz w:val="32"/>
          <w:szCs w:val="32"/>
          <w:shd w:val="clear" w:color="auto" w:fill="FFFFFF"/>
          <w:lang w:eastAsia="zh-CN"/>
        </w:rPr>
      </w:pPr>
      <w:r>
        <w:rPr>
          <w:rFonts w:hint="eastAsia" w:ascii="楷体" w:hAnsi="楷体" w:eastAsia="楷体" w:cs="楷体"/>
          <w:b w:val="0"/>
          <w:bCs w:val="0"/>
          <w:snapToGrid/>
          <w:color w:val="auto"/>
          <w:sz w:val="32"/>
          <w:szCs w:val="32"/>
          <w:shd w:val="clear" w:color="auto" w:fill="FFFFFF"/>
          <w:lang w:eastAsia="zh-CN"/>
        </w:rPr>
        <w:t>（四）完善机制，强化督导检查</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right="0" w:rightChars="0"/>
        <w:jc w:val="both"/>
        <w:textAlignment w:val="auto"/>
        <w:outlineLvl w:val="9"/>
        <w:rPr>
          <w:rFonts w:hint="eastAsia" w:ascii="仿宋_GB2312" w:hAnsi="仿宋_GB2312" w:eastAsia="仿宋_GB2312" w:cs="仿宋_GB2312"/>
          <w:snapToGrid/>
          <w:color w:val="auto"/>
          <w:sz w:val="32"/>
          <w:szCs w:val="32"/>
          <w:shd w:val="clear" w:color="auto" w:fill="FFFFFF"/>
          <w:lang w:val="en-US" w:eastAsia="zh-CN"/>
        </w:rPr>
      </w:pPr>
      <w:r>
        <w:rPr>
          <w:rFonts w:hint="eastAsia" w:ascii="仿宋" w:hAnsi="仿宋" w:eastAsia="仿宋" w:cs="仿宋"/>
          <w:snapToGrid/>
          <w:color w:val="auto"/>
          <w:sz w:val="32"/>
          <w:szCs w:val="32"/>
          <w:shd w:val="clear" w:color="auto" w:fill="FFFFFF"/>
          <w:lang w:val="en-US" w:eastAsia="zh-CN"/>
        </w:rPr>
        <w:t xml:space="preserve">    </w:t>
      </w:r>
      <w:r>
        <w:rPr>
          <w:rFonts w:hint="eastAsia" w:ascii="仿宋" w:hAnsi="仿宋" w:eastAsia="仿宋" w:cs="仿宋"/>
          <w:snapToGrid/>
          <w:color w:val="auto"/>
          <w:sz w:val="32"/>
          <w:szCs w:val="32"/>
          <w:shd w:val="clear" w:color="auto" w:fill="FFFFFF"/>
          <w:lang w:eastAsia="zh-CN"/>
        </w:rPr>
        <w:t>将</w:t>
      </w:r>
      <w:r>
        <w:rPr>
          <w:rFonts w:hint="eastAsia" w:ascii="仿宋" w:hAnsi="仿宋" w:eastAsia="仿宋" w:cs="仿宋"/>
          <w:snapToGrid/>
          <w:color w:val="auto"/>
          <w:sz w:val="32"/>
          <w:szCs w:val="32"/>
          <w:shd w:val="clear" w:color="auto" w:fill="FFFFFF"/>
        </w:rPr>
        <w:t>基层综合性文化服务中心建设纳入各级政府公共文化服务考核指标，加强对基层综合性文化服务中心建设使用情况的督导检查。</w:t>
      </w:r>
      <w:r>
        <w:rPr>
          <w:rFonts w:hint="eastAsia" w:ascii="仿宋" w:hAnsi="仿宋" w:eastAsia="仿宋" w:cs="仿宋"/>
          <w:snapToGrid/>
          <w:color w:val="auto"/>
          <w:sz w:val="32"/>
          <w:szCs w:val="32"/>
          <w:shd w:val="clear" w:color="auto" w:fill="FFFFFF"/>
          <w:lang w:eastAsia="zh-CN"/>
        </w:rPr>
        <w:t>区</w:t>
      </w:r>
      <w:r>
        <w:rPr>
          <w:rFonts w:hint="eastAsia" w:ascii="仿宋" w:hAnsi="仿宋" w:eastAsia="仿宋" w:cs="仿宋"/>
          <w:snapToGrid/>
          <w:color w:val="auto"/>
          <w:sz w:val="32"/>
          <w:szCs w:val="32"/>
          <w:shd w:val="clear" w:color="auto" w:fill="FFFFFF"/>
        </w:rPr>
        <w:t>文化</w:t>
      </w:r>
      <w:r>
        <w:rPr>
          <w:rFonts w:hint="eastAsia" w:ascii="仿宋" w:hAnsi="仿宋" w:eastAsia="仿宋" w:cs="仿宋"/>
          <w:snapToGrid/>
          <w:color w:val="auto"/>
          <w:sz w:val="32"/>
          <w:szCs w:val="32"/>
          <w:shd w:val="clear" w:color="auto" w:fill="FFFFFF"/>
          <w:lang w:eastAsia="zh-CN"/>
        </w:rPr>
        <w:t>旅游局</w:t>
      </w:r>
      <w:r>
        <w:rPr>
          <w:rFonts w:hint="eastAsia" w:ascii="仿宋" w:hAnsi="仿宋" w:eastAsia="仿宋" w:cs="仿宋"/>
          <w:snapToGrid/>
          <w:color w:val="auto"/>
          <w:sz w:val="32"/>
          <w:szCs w:val="32"/>
          <w:shd w:val="clear" w:color="auto" w:fill="FFFFFF"/>
        </w:rPr>
        <w:t>要会同有关部门建立动态监测和绩效评价机制，引入第三方开展公众满意度测评。对基层综合性文化服务中心建设、管理和使用中群众满意度差的</w:t>
      </w:r>
      <w:r>
        <w:rPr>
          <w:rFonts w:hint="eastAsia" w:ascii="仿宋" w:hAnsi="仿宋" w:eastAsia="仿宋" w:cs="仿宋"/>
          <w:snapToGrid/>
          <w:color w:val="auto"/>
          <w:sz w:val="32"/>
          <w:szCs w:val="32"/>
          <w:shd w:val="clear" w:color="auto" w:fill="FFFFFF"/>
          <w:lang w:eastAsia="zh-CN"/>
        </w:rPr>
        <w:t>街道办事处</w:t>
      </w:r>
      <w:r>
        <w:rPr>
          <w:rFonts w:hint="eastAsia" w:ascii="仿宋" w:hAnsi="仿宋" w:eastAsia="仿宋" w:cs="仿宋"/>
          <w:snapToGrid/>
          <w:color w:val="auto"/>
          <w:sz w:val="32"/>
          <w:szCs w:val="32"/>
          <w:shd w:val="clear" w:color="auto" w:fill="FFFFFF"/>
        </w:rPr>
        <w:t>要进行通报批评，对群众满意度高的</w:t>
      </w:r>
      <w:r>
        <w:rPr>
          <w:rFonts w:hint="eastAsia" w:ascii="仿宋" w:hAnsi="仿宋" w:eastAsia="仿宋" w:cs="仿宋"/>
          <w:snapToGrid/>
          <w:color w:val="auto"/>
          <w:sz w:val="32"/>
          <w:szCs w:val="32"/>
          <w:shd w:val="clear" w:color="auto" w:fill="FFFFFF"/>
          <w:lang w:eastAsia="zh-CN"/>
        </w:rPr>
        <w:t>街道办事处</w:t>
      </w:r>
      <w:r>
        <w:rPr>
          <w:rFonts w:hint="eastAsia" w:ascii="仿宋" w:hAnsi="仿宋" w:eastAsia="仿宋" w:cs="仿宋"/>
          <w:snapToGrid/>
          <w:color w:val="auto"/>
          <w:sz w:val="32"/>
          <w:szCs w:val="32"/>
          <w:shd w:val="clear" w:color="auto" w:fill="FFFFFF"/>
        </w:rPr>
        <w:t>给予表扬并总结推广经验</w:t>
      </w:r>
      <w:r>
        <w:rPr>
          <w:rFonts w:hint="eastAsia" w:ascii="仿宋" w:hAnsi="仿宋" w:eastAsia="仿宋" w:cs="仿宋"/>
          <w:snapToGrid/>
          <w:color w:val="auto"/>
          <w:sz w:val="32"/>
          <w:szCs w:val="32"/>
          <w:shd w:val="clear" w:color="auto" w:fill="FFFFFF"/>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 w:hAnsi="仿宋" w:eastAsia="仿宋" w:cs="仿宋"/>
          <w:snapToGrid/>
          <w:color w:val="auto"/>
          <w:sz w:val="32"/>
          <w:szCs w:val="32"/>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 w:hAnsi="仿宋" w:eastAsia="仿宋" w:cs="仿宋"/>
          <w:snapToGrid/>
          <w:color w:val="auto"/>
          <w:sz w:val="32"/>
          <w:szCs w:val="32"/>
          <w:shd w:val="clear" w:color="auto" w:fill="FFFFFF"/>
          <w:lang w:eastAsia="zh-CN"/>
        </w:rPr>
      </w:pPr>
      <w:r>
        <w:rPr>
          <w:rFonts w:hint="eastAsia" w:ascii="仿宋" w:hAnsi="仿宋" w:eastAsia="仿宋" w:cs="仿宋"/>
          <w:snapToGrid/>
          <w:color w:val="auto"/>
          <w:sz w:val="32"/>
          <w:szCs w:val="32"/>
          <w:shd w:val="clear" w:color="auto" w:fill="FFFFFF"/>
        </w:rPr>
        <w:t>附件：</w:t>
      </w:r>
      <w:r>
        <w:rPr>
          <w:rFonts w:hint="eastAsia" w:ascii="仿宋" w:hAnsi="仿宋" w:eastAsia="仿宋" w:cs="仿宋"/>
          <w:snapToGrid/>
          <w:color w:val="auto"/>
          <w:sz w:val="32"/>
          <w:szCs w:val="32"/>
          <w:shd w:val="clear" w:color="auto" w:fill="FFFFFF"/>
          <w:lang w:val="en-US" w:eastAsia="zh-CN"/>
        </w:rPr>
        <w:t>1.</w:t>
      </w:r>
      <w:r>
        <w:rPr>
          <w:rFonts w:hint="eastAsia" w:ascii="仿宋" w:hAnsi="仿宋" w:eastAsia="仿宋" w:cs="仿宋"/>
          <w:snapToGrid/>
          <w:color w:val="auto"/>
          <w:sz w:val="32"/>
          <w:szCs w:val="32"/>
          <w:shd w:val="clear" w:color="auto" w:fill="FFFFFF"/>
          <w:lang w:eastAsia="zh-CN"/>
        </w:rPr>
        <w:t>郑州市基层</w:t>
      </w:r>
      <w:r>
        <w:rPr>
          <w:rFonts w:hint="eastAsia" w:ascii="仿宋" w:hAnsi="仿宋" w:eastAsia="仿宋" w:cs="仿宋"/>
          <w:snapToGrid/>
          <w:color w:val="auto"/>
          <w:sz w:val="32"/>
          <w:szCs w:val="32"/>
          <w:shd w:val="clear" w:color="auto" w:fill="FFFFFF"/>
        </w:rPr>
        <w:t>综合性文化服务中心建设标准</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 w:hAnsi="仿宋" w:eastAsia="仿宋" w:cs="仿宋"/>
          <w:snapToGrid/>
          <w:color w:val="auto"/>
          <w:sz w:val="32"/>
          <w:szCs w:val="32"/>
          <w:shd w:val="clear" w:color="auto" w:fill="FFFFFF"/>
          <w:lang w:val="en-US" w:eastAsia="zh-CN"/>
        </w:rPr>
      </w:pPr>
      <w:r>
        <w:rPr>
          <w:rFonts w:hint="eastAsia" w:ascii="仿宋" w:hAnsi="仿宋" w:eastAsia="仿宋" w:cs="仿宋"/>
          <w:snapToGrid/>
          <w:color w:val="auto"/>
          <w:sz w:val="32"/>
          <w:szCs w:val="32"/>
          <w:shd w:val="clear" w:color="auto" w:fill="FFFFFF"/>
          <w:lang w:val="en-US" w:eastAsia="zh-CN"/>
        </w:rPr>
        <w:t xml:space="preserve">      2.</w:t>
      </w:r>
      <w:r>
        <w:rPr>
          <w:rFonts w:hint="eastAsia" w:ascii="仿宋" w:hAnsi="仿宋" w:eastAsia="仿宋" w:cs="仿宋"/>
          <w:snapToGrid/>
          <w:color w:val="auto"/>
          <w:spacing w:val="6"/>
          <w:sz w:val="32"/>
          <w:szCs w:val="32"/>
          <w:shd w:val="clear" w:color="auto" w:fill="FFFFFF"/>
          <w:lang w:val="en-US" w:eastAsia="zh-CN"/>
        </w:rPr>
        <w:t>2017年金水区基层综合性文化服务中心建设任务</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beforeAutospacing="0" w:after="0" w:afterLines="0" w:afterAutospacing="0" w:line="590" w:lineRule="exact"/>
        <w:ind w:left="0" w:leftChars="0" w:right="0" w:rightChars="0" w:firstLine="640" w:firstLineChars="200"/>
        <w:jc w:val="both"/>
        <w:textAlignment w:val="auto"/>
        <w:outlineLvl w:val="9"/>
        <w:rPr>
          <w:rFonts w:hint="eastAsia" w:ascii="仿宋" w:hAnsi="仿宋" w:eastAsia="仿宋" w:cs="仿宋"/>
          <w:snapToGrid/>
          <w:color w:val="auto"/>
          <w:sz w:val="32"/>
          <w:szCs w:val="32"/>
          <w:shd w:val="clear" w:color="auto" w:fill="FFFFFF"/>
          <w:lang w:val="en-US" w:eastAsia="zh-CN"/>
        </w:rPr>
      </w:pPr>
      <w:r>
        <w:rPr>
          <w:rFonts w:hint="eastAsia" w:ascii="仿宋" w:hAnsi="仿宋" w:eastAsia="仿宋" w:cs="仿宋"/>
          <w:snapToGrid/>
          <w:color w:val="auto"/>
          <w:sz w:val="32"/>
          <w:szCs w:val="32"/>
          <w:shd w:val="clear" w:color="auto" w:fill="FFFFFF"/>
          <w:lang w:val="en-US" w:eastAsia="zh-CN"/>
        </w:rPr>
        <w:t xml:space="preserve">        分配表</w:t>
      </w: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jc w:val="center"/>
        <w:textAlignment w:val="auto"/>
        <w:outlineLvl w:val="9"/>
        <w:rPr>
          <w:rFonts w:hint="eastAsia" w:ascii="黑体" w:hAnsi="黑体" w:eastAsia="黑体" w:cs="黑体"/>
          <w:color w:val="auto"/>
          <w:sz w:val="44"/>
          <w:szCs w:val="44"/>
          <w:lang w:val="en-US" w:eastAsia="zh-CN"/>
        </w:rPr>
        <w:sectPr>
          <w:headerReference r:id="rId3" w:type="default"/>
          <w:footerReference r:id="rId4" w:type="default"/>
          <w:pgSz w:w="11906" w:h="16838"/>
          <w:pgMar w:top="1871" w:right="1474" w:bottom="1701" w:left="1474" w:header="1077" w:footer="1304" w:gutter="0"/>
          <w:cols w:space="720" w:num="1"/>
          <w:docGrid w:type="lines" w:linePitch="443" w:charSpace="0"/>
        </w:sectPr>
      </w:pPr>
    </w:p>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before="0" w:beforeLines="0" w:after="12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郑州市基层综合性文化服务中心建设标准</w:t>
      </w:r>
    </w:p>
    <w:tbl>
      <w:tblPr>
        <w:tblStyle w:val="5"/>
        <w:tblW w:w="144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4725"/>
        <w:gridCol w:w="4410"/>
        <w:gridCol w:w="4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1230" w:type="dxa"/>
            <w:vAlign w:val="center"/>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mc:AlternateContent>
                <mc:Choice Requires="wpsCustomData">
                  <wpsCustomData:diagonalParaType/>
                </mc:Choice>
              </mc:AlternateContent>
              <w:rPr>
                <w:rFonts w:hint="eastAsia" w:ascii="黑体" w:hAnsi="黑体" w:eastAsia="黑体" w:cs="黑体"/>
                <w:color w:val="auto"/>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p>
        </w:tc>
        <w:tc>
          <w:tcPr>
            <w:tcW w:w="472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乡镇（街道）</w:t>
            </w:r>
          </w:p>
        </w:tc>
        <w:tc>
          <w:tcPr>
            <w:tcW w:w="4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行政村</w:t>
            </w:r>
          </w:p>
        </w:tc>
        <w:tc>
          <w:tcPr>
            <w:tcW w:w="404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建筑面积</w:t>
            </w:r>
          </w:p>
        </w:tc>
        <w:tc>
          <w:tcPr>
            <w:tcW w:w="4725"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 xml:space="preserve"> 建筑不低于300平方米。</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 xml:space="preserve"> 文体广场原则上不低于1000平方米。</w:t>
            </w:r>
          </w:p>
        </w:tc>
        <w:tc>
          <w:tcPr>
            <w:tcW w:w="4410"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 xml:space="preserve"> 建筑不低于100平方米。</w:t>
            </w:r>
          </w:p>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 xml:space="preserve"> 文体广场原则上不低于1000平方米。</w:t>
            </w:r>
          </w:p>
        </w:tc>
        <w:tc>
          <w:tcPr>
            <w:tcW w:w="404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1. 建筑不低于100平方米。</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2. 文体广场原则上不低于1000平方米。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功能设置</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3. 设有多功能厅，图书室，培训教室和共享工程活动室并配备相应设备，有室外活动场地。</w:t>
            </w:r>
          </w:p>
        </w:tc>
        <w:tc>
          <w:tcPr>
            <w:tcW w:w="4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3. 室内设置图书阅览室，文化活动室，数字资源室，多功能教室等。</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4. 有一个简易戏台（长10米，宽5米，高0.8米），一个宣传栏，一套文化器材，一套广播器材，一套体育设施器材。</w:t>
            </w:r>
          </w:p>
        </w:tc>
        <w:tc>
          <w:tcPr>
            <w:tcW w:w="404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3. 室内设置图书阅览室，文化活动室，数字资源室，多功能教室等。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经费保障</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4. 在落实文化部，财政部规定的免费开放保障经费前提下，财政拨款的业务经费每年不少于2万。</w:t>
            </w:r>
          </w:p>
        </w:tc>
        <w:tc>
          <w:tcPr>
            <w:tcW w:w="4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5. 财政拨款的业务经费每年不少于0.3万。</w:t>
            </w:r>
          </w:p>
        </w:tc>
        <w:tc>
          <w:tcPr>
            <w:tcW w:w="404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4. 财政拨款的业务经费每年不少于0.3万。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活动要求</w:t>
            </w:r>
          </w:p>
        </w:tc>
        <w:tc>
          <w:tcPr>
            <w:tcW w:w="4725"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 xml:space="preserve"> 每年举办综合性大型文体活动不少于1次，举办单项性文体活动不少于3次。</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 xml:space="preserve"> 每年送文艺演出到每个乡镇不少于5场。</w:t>
            </w:r>
          </w:p>
        </w:tc>
        <w:tc>
          <w:tcPr>
            <w:tcW w:w="4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6. 每年组织5次以上群众文体活动。</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7. 每年送文艺演出到每个行政村不少于1场。</w:t>
            </w:r>
          </w:p>
        </w:tc>
        <w:tc>
          <w:tcPr>
            <w:tcW w:w="404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5. 每年组织5次以上群众文体活动。</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6. 每年送文艺演出到每个行政村不少于1场。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123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队伍建设</w:t>
            </w:r>
          </w:p>
        </w:tc>
        <w:tc>
          <w:tcPr>
            <w:tcW w:w="4725"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 xml:space="preserve"> 每个中心至少有2名编制，规模较大的可适当增加1至2名，工作人员专门从事宣传文化工作，不得兼职。</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 xml:space="preserve"> 文化专兼职人员参加集中培训时间每年不少于5天。</w:t>
            </w:r>
          </w:p>
        </w:tc>
        <w:tc>
          <w:tcPr>
            <w:tcW w:w="4410"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“两委”中确定1名兼职工作人员；政府购买公益文化岗位不少于1人。</w:t>
            </w:r>
          </w:p>
          <w:p>
            <w:pPr>
              <w:keepNext w:val="0"/>
              <w:keepLines w:val="0"/>
              <w:pageBreakBefore w:val="0"/>
              <w:widowControl w:val="0"/>
              <w:numPr>
                <w:ilvl w:val="0"/>
                <w:numId w:val="4"/>
              </w:numPr>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 xml:space="preserve"> 文化专兼职人员参加集中培训时间每年不少于5天。</w:t>
            </w:r>
          </w:p>
        </w:tc>
        <w:tc>
          <w:tcPr>
            <w:tcW w:w="4046" w:type="dxa"/>
            <w:vAlign w:val="center"/>
          </w:tcPr>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 xml:space="preserve"> 社区至少有1名专职工作人员负责社区宣传文化服务工作。</w:t>
            </w:r>
          </w:p>
          <w:p>
            <w:pPr>
              <w:keepNext w:val="0"/>
              <w:keepLines w:val="0"/>
              <w:pageBreakBefore w:val="0"/>
              <w:widowControl w:val="0"/>
              <w:numPr>
                <w:ilvl w:val="0"/>
                <w:numId w:val="5"/>
              </w:numPr>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 xml:space="preserve"> 文化专兼职人员参加集中培训时间每年不少于5天。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23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活动安全</w:t>
            </w:r>
          </w:p>
        </w:tc>
        <w:tc>
          <w:tcPr>
            <w:tcW w:w="4725"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9. 无重大安全和责任事故。</w:t>
            </w:r>
          </w:p>
        </w:tc>
        <w:tc>
          <w:tcPr>
            <w:tcW w:w="441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10. 无重大安全和责任事故。</w:t>
            </w:r>
          </w:p>
        </w:tc>
        <w:tc>
          <w:tcPr>
            <w:tcW w:w="404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sz w:val="24"/>
                <w:szCs w:val="24"/>
                <w:vertAlign w:val="baseline"/>
                <w:lang w:val="en-US" w:eastAsia="zh-CN"/>
              </w:rPr>
            </w:pPr>
            <w:r>
              <w:rPr>
                <w:rFonts w:hint="eastAsia"/>
                <w:color w:val="auto"/>
                <w:sz w:val="24"/>
                <w:szCs w:val="24"/>
                <w:vertAlign w:val="baseline"/>
                <w:lang w:val="en-US" w:eastAsia="zh-CN"/>
              </w:rPr>
              <w:t>9. 无重大安全和责任事故。</w:t>
            </w:r>
          </w:p>
        </w:tc>
      </w:tr>
    </w:tbl>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0" w:beforeLines="0" w:after="12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2017年金水区基层综合性文化服务中心建设任务分配表</w:t>
      </w:r>
    </w:p>
    <w:tbl>
      <w:tblPr>
        <w:tblStyle w:val="5"/>
        <w:tblW w:w="14533" w:type="dxa"/>
        <w:jc w:val="center"/>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700"/>
        <w:gridCol w:w="1200"/>
        <w:gridCol w:w="1217"/>
        <w:gridCol w:w="600"/>
        <w:gridCol w:w="1300"/>
        <w:gridCol w:w="1916"/>
        <w:gridCol w:w="1181"/>
        <w:gridCol w:w="686"/>
        <w:gridCol w:w="1177"/>
        <w:gridCol w:w="1190"/>
        <w:gridCol w:w="1133"/>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号</w:t>
            </w:r>
          </w:p>
        </w:tc>
        <w:tc>
          <w:tcPr>
            <w:tcW w:w="17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单位名称</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街道级</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建设数量</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完成</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时限</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备注</w:t>
            </w:r>
          </w:p>
        </w:tc>
        <w:tc>
          <w:tcPr>
            <w:tcW w:w="13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社区级</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建设数量</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具体名单</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完成时限</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备注</w:t>
            </w:r>
          </w:p>
        </w:tc>
        <w:tc>
          <w:tcPr>
            <w:tcW w:w="117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村级</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建设数量</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具体</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名单</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完成</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时限</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黑体" w:hAnsi="黑体" w:eastAsia="黑体" w:cs="黑体"/>
                <w:color w:val="auto"/>
                <w:sz w:val="24"/>
                <w:szCs w:val="24"/>
                <w:vertAlign w:val="baseline"/>
                <w:lang w:val="en-US" w:eastAsia="zh-CN"/>
              </w:rPr>
            </w:pPr>
            <w:r>
              <w:rPr>
                <w:rFonts w:hint="eastAsia" w:ascii="黑体" w:hAnsi="黑体" w:eastAsia="黑体" w:cs="黑体"/>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丰庆路街道</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1个</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2017.12</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tc>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5个</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四月天社区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2017.06</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试点</w:t>
            </w:r>
          </w:p>
        </w:tc>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2个</w:t>
            </w: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西史赵村</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2017.12</w:t>
            </w: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安泰社区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泰和社区</w:t>
            </w:r>
          </w:p>
        </w:tc>
        <w:tc>
          <w:tcPr>
            <w:tcW w:w="1181"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琉璃寺村</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水晶城社区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呈祥社区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exac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国基路街道</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1个</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2017.06</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试点</w:t>
            </w:r>
          </w:p>
        </w:tc>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4个</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rPr>
              <w:t>金印阳光</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exac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rPr>
              <w:t>风雅颂</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exac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rPr>
              <w:t>琥珀名城</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exac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rPr>
              <w:t>魏河</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65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w:t>
            </w:r>
          </w:p>
        </w:tc>
        <w:tc>
          <w:tcPr>
            <w:tcW w:w="17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杨金路街道</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1个</w:t>
            </w:r>
          </w:p>
        </w:tc>
        <w:tc>
          <w:tcPr>
            <w:tcW w:w="121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tc>
        <w:tc>
          <w:tcPr>
            <w:tcW w:w="130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0个</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1个</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马林村</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2017.12</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兴达路街道</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1个</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tc>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0个</w:t>
            </w:r>
          </w:p>
        </w:tc>
        <w:tc>
          <w:tcPr>
            <w:tcW w:w="1916"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81"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86"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3个</w:t>
            </w:r>
          </w:p>
        </w:tc>
        <w:tc>
          <w:tcPr>
            <w:tcW w:w="11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黄</w:t>
            </w:r>
            <w:r>
              <w:rPr>
                <w:rFonts w:hint="eastAsia" w:ascii="仿宋" w:hAnsi="仿宋" w:eastAsia="仿宋" w:cs="仿宋"/>
                <w:color w:val="auto"/>
                <w:sz w:val="24"/>
                <w:szCs w:val="24"/>
                <w:vertAlign w:val="baseline"/>
                <w:lang w:val="en-US"/>
              </w:rPr>
              <w:t>岗庙</w:t>
            </w:r>
            <w:r>
              <w:rPr>
                <w:rFonts w:hint="eastAsia" w:ascii="仿宋" w:hAnsi="仿宋" w:eastAsia="仿宋" w:cs="仿宋"/>
                <w:color w:val="auto"/>
                <w:sz w:val="24"/>
                <w:szCs w:val="24"/>
                <w:vertAlign w:val="baseline"/>
                <w:lang w:val="en-US" w:eastAsia="zh-CN"/>
              </w:rPr>
              <w:t>村</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rPr>
              <w:t>黄庄</w:t>
            </w:r>
            <w:r>
              <w:rPr>
                <w:rFonts w:hint="eastAsia" w:ascii="仿宋" w:hAnsi="仿宋" w:eastAsia="仿宋" w:cs="仿宋"/>
                <w:color w:val="auto"/>
                <w:sz w:val="24"/>
                <w:szCs w:val="24"/>
                <w:vertAlign w:val="baseline"/>
                <w:lang w:val="en-US" w:eastAsia="zh-CN"/>
              </w:rPr>
              <w:t>村</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rPr>
              <w:t>来童寨</w:t>
            </w:r>
            <w:r>
              <w:rPr>
                <w:rFonts w:hint="eastAsia" w:ascii="仿宋" w:hAnsi="仿宋" w:eastAsia="仿宋" w:cs="仿宋"/>
                <w:color w:val="auto"/>
                <w:sz w:val="24"/>
                <w:szCs w:val="24"/>
                <w:vertAlign w:val="baseline"/>
                <w:lang w:val="en-US" w:eastAsia="zh-CN"/>
              </w:rPr>
              <w:t>村</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未来路街道</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1个</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tc>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5个</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升龙</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1个</w:t>
            </w: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燕庄村</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2017.06</w:t>
            </w: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银基花园</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金林</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新鑫花园</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燕庄花园</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凤凰台街道</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1个</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tc>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3个</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英协社区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2个</w:t>
            </w: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凤凰台村</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2017.12</w:t>
            </w: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建业社区</w:t>
            </w:r>
          </w:p>
        </w:tc>
        <w:tc>
          <w:tcPr>
            <w:tcW w:w="1181"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81"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张庄村</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2017.12</w:t>
            </w: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凤凰城社区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丰产路街道</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1个</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tc>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8个</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德亿</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押砦</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金成</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姚砦</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豫财</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常砦</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黄河路</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开发行社区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花园路街道</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1个</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tc>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5个</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省卫生厅</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2017.06</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试点</w:t>
            </w:r>
          </w:p>
        </w:tc>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省民航</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通信花园</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省供销社</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戊院</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9</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经八路街道</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1个</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2017.06</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试点</w:t>
            </w:r>
          </w:p>
        </w:tc>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5个</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军区</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文联</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省委</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教育</w:t>
            </w:r>
            <w:r>
              <w:rPr>
                <w:rFonts w:hint="eastAsia" w:ascii="仿宋" w:hAnsi="仿宋" w:eastAsia="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商务社区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文化路街道</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1个</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tc>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7个</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rPr>
              <w:t>农科院</w:t>
            </w:r>
            <w:r>
              <w:rPr>
                <w:rFonts w:hint="eastAsia" w:ascii="仿宋" w:hAnsi="仿宋" w:eastAsia="仿宋" w:cs="仿宋"/>
                <w:color w:val="auto"/>
                <w:sz w:val="24"/>
                <w:szCs w:val="24"/>
                <w:vertAlign w:val="baseline"/>
                <w:lang w:val="en-US"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rPr>
              <w:t>农大</w:t>
            </w:r>
            <w:r>
              <w:rPr>
                <w:rFonts w:hint="eastAsia" w:ascii="仿宋" w:hAnsi="仿宋" w:eastAsia="仿宋" w:cs="仿宋"/>
                <w:color w:val="auto"/>
                <w:sz w:val="24"/>
                <w:szCs w:val="24"/>
                <w:vertAlign w:val="baseline"/>
                <w:lang w:val="en-US"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rPr>
              <w:t>郑大工学院</w:t>
            </w:r>
            <w:r>
              <w:rPr>
                <w:rFonts w:hint="eastAsia" w:ascii="仿宋" w:hAnsi="仿宋" w:eastAsia="仿宋" w:cs="仿宋"/>
                <w:color w:val="auto"/>
                <w:sz w:val="24"/>
                <w:szCs w:val="24"/>
                <w:vertAlign w:val="baseline"/>
                <w:lang w:val="en-US"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rPr>
              <w:t>俭学街</w:t>
            </w:r>
            <w:r>
              <w:rPr>
                <w:rFonts w:hint="eastAsia" w:ascii="仿宋" w:hAnsi="仿宋" w:eastAsia="仿宋" w:cs="仿宋"/>
                <w:color w:val="auto"/>
                <w:sz w:val="24"/>
                <w:szCs w:val="24"/>
                <w:vertAlign w:val="baseline"/>
                <w:lang w:val="en-US"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rPr>
              <w:t>农西</w:t>
            </w:r>
            <w:r>
              <w:rPr>
                <w:rFonts w:hint="eastAsia" w:ascii="仿宋" w:hAnsi="仿宋" w:eastAsia="仿宋" w:cs="仿宋"/>
                <w:color w:val="auto"/>
                <w:sz w:val="24"/>
                <w:szCs w:val="24"/>
                <w:vertAlign w:val="baseline"/>
                <w:lang w:val="en-US"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rPr>
              <w:t>郑花路</w:t>
            </w:r>
            <w:r>
              <w:rPr>
                <w:rFonts w:hint="eastAsia" w:ascii="仿宋" w:hAnsi="仿宋" w:eastAsia="仿宋" w:cs="仿宋"/>
                <w:color w:val="auto"/>
                <w:sz w:val="24"/>
                <w:szCs w:val="24"/>
                <w:vertAlign w:val="baseline"/>
                <w:lang w:val="en-US"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rPr>
              <w:t>蓝堡湾</w:t>
            </w:r>
            <w:r>
              <w:rPr>
                <w:rFonts w:hint="eastAsia" w:ascii="仿宋" w:hAnsi="仿宋" w:eastAsia="仿宋" w:cs="仿宋"/>
                <w:color w:val="auto"/>
                <w:sz w:val="24"/>
                <w:szCs w:val="24"/>
                <w:vertAlign w:val="baseline"/>
                <w:lang w:val="en-US"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南阳路街道</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1个</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tc>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5个</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西彩</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晖达</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福园</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北苑</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汉飞</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12</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大石桥街道</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1个</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tc>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4个</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rPr>
              <w:t>金沙</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rPr>
              <w:t>天下城</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rPr>
              <w:t>中亨</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rPr>
              <w:t>城中央</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13</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南阳新村街道</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1个</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tc>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6个</w:t>
            </w:r>
          </w:p>
        </w:tc>
        <w:tc>
          <w:tcPr>
            <w:tcW w:w="1916" w:type="dxa"/>
            <w:vAlign w:val="center"/>
          </w:tcPr>
          <w:p>
            <w:pPr>
              <w:pStyle w:val="6"/>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小孟砦</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Align w:val="center"/>
          </w:tcPr>
          <w:p>
            <w:pPr>
              <w:pStyle w:val="6"/>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翠花</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pStyle w:val="6"/>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荣华</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pStyle w:val="6"/>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东风</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pStyle w:val="6"/>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丰乐</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pStyle w:val="6"/>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南丰</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1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14</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人民路街道</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1个</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tc>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4个</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顺一</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顺三</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水文局</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工人新村</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15</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东风路街道</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1个</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tc>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8个</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明天花园</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2个</w:t>
            </w: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十二里屯村</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2017.12</w:t>
            </w: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文化绿城</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轻院</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文北</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丰乐花苑</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白庙村</w:t>
            </w: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2017.12</w:t>
            </w: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锦华苑</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大河春天</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olor w:val="auto"/>
                <w:sz w:val="24"/>
                <w:szCs w:val="24"/>
              </w:rPr>
              <w:t>同乐</w:t>
            </w:r>
            <w:r>
              <w:rPr>
                <w:rFonts w:hint="eastAsia" w:ascii="仿宋" w:hAnsi="仿宋" w:eastAsia="仿宋" w:cs="仿宋"/>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16</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北林路街道</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1个</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tc>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5个</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鑫苑社区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广电社区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御金城社区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国泰花园</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金基社区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65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17</w:t>
            </w:r>
          </w:p>
        </w:tc>
        <w:tc>
          <w:tcPr>
            <w:tcW w:w="17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b/>
                <w:bCs/>
                <w:color w:val="auto"/>
                <w:sz w:val="24"/>
                <w:szCs w:val="24"/>
                <w:vertAlign w:val="baseline"/>
                <w:lang w:val="en-US" w:eastAsia="zh-CN"/>
              </w:rPr>
              <w:t>杜岭街道</w:t>
            </w:r>
          </w:p>
        </w:tc>
        <w:tc>
          <w:tcPr>
            <w:tcW w:w="12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1个</w:t>
            </w:r>
          </w:p>
        </w:tc>
        <w:tc>
          <w:tcPr>
            <w:tcW w:w="121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p>
        </w:tc>
        <w:tc>
          <w:tcPr>
            <w:tcW w:w="130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3个</w:t>
            </w: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default"/>
                <w:color w:val="auto"/>
                <w:sz w:val="24"/>
                <w:szCs w:val="24"/>
              </w:rPr>
              <w:t>烟草院</w:t>
            </w:r>
            <w:r>
              <w:rPr>
                <w:rFonts w:hint="eastAsia"/>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restart"/>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color w:val="auto"/>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default"/>
                <w:color w:val="auto"/>
                <w:sz w:val="24"/>
                <w:szCs w:val="24"/>
              </w:rPr>
              <w:t>张砦</w:t>
            </w:r>
            <w:r>
              <w:rPr>
                <w:rFonts w:hint="eastAsia"/>
                <w:color w:val="auto"/>
                <w:sz w:val="24"/>
                <w:szCs w:val="24"/>
                <w:lang w:eastAsia="zh-CN"/>
              </w:rPr>
              <w:t>街社区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65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7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21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30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91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default"/>
                <w:color w:val="auto"/>
                <w:sz w:val="24"/>
                <w:szCs w:val="24"/>
              </w:rPr>
              <w:t>西里路</w:t>
            </w:r>
            <w:r>
              <w:rPr>
                <w:rFonts w:hint="eastAsia"/>
                <w:color w:val="auto"/>
                <w:sz w:val="24"/>
                <w:szCs w:val="24"/>
                <w:lang w:eastAsia="zh-CN"/>
              </w:rPr>
              <w:t>社区</w:t>
            </w:r>
          </w:p>
        </w:tc>
        <w:tc>
          <w:tcPr>
            <w:tcW w:w="1181"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r>
              <w:rPr>
                <w:rFonts w:hint="eastAsia" w:ascii="仿宋" w:hAnsi="仿宋" w:eastAsia="仿宋" w:cs="仿宋"/>
                <w:color w:val="auto"/>
                <w:sz w:val="24"/>
                <w:szCs w:val="24"/>
                <w:vertAlign w:val="baseline"/>
                <w:lang w:val="en-US" w:eastAsia="zh-CN"/>
              </w:rPr>
              <w:t>2017.12</w:t>
            </w:r>
          </w:p>
        </w:tc>
        <w:tc>
          <w:tcPr>
            <w:tcW w:w="686" w:type="dxa"/>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77"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90"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c>
          <w:tcPr>
            <w:tcW w:w="583" w:type="dxa"/>
            <w:vMerge w:val="continue"/>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2350" w:type="dxa"/>
            <w:gridSpan w:val="2"/>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合计：105个</w:t>
            </w:r>
          </w:p>
        </w:tc>
        <w:tc>
          <w:tcPr>
            <w:tcW w:w="3017" w:type="dxa"/>
            <w:gridSpan w:val="3"/>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17个</w:t>
            </w:r>
          </w:p>
        </w:tc>
        <w:tc>
          <w:tcPr>
            <w:tcW w:w="5083"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77个</w:t>
            </w:r>
          </w:p>
        </w:tc>
        <w:tc>
          <w:tcPr>
            <w:tcW w:w="4083" w:type="dxa"/>
            <w:gridSpan w:val="4"/>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11个</w:t>
            </w:r>
          </w:p>
        </w:tc>
      </w:tr>
    </w:tbl>
    <w:p>
      <w:pPr>
        <w:keepNext w:val="0"/>
        <w:keepLines w:val="0"/>
        <w:pageBreakBefore w:val="0"/>
        <w:widowControl w:val="0"/>
        <w:kinsoku/>
        <w:wordWrap/>
        <w:overflowPunct/>
        <w:topLinePunct w:val="0"/>
        <w:autoSpaceDE/>
        <w:bidi w:val="0"/>
        <w:adjustRightInd/>
        <w:snapToGrid/>
        <w:spacing w:before="0" w:beforeLines="0" w:after="0" w:afterLines="0" w:line="600" w:lineRule="exact"/>
        <w:ind w:left="0" w:leftChars="0" w:right="0" w:rightChars="0"/>
        <w:textAlignment w:val="auto"/>
        <w:outlineLvl w:val="9"/>
        <w:rPr>
          <w:rFonts w:hint="eastAsia" w:ascii="仿宋" w:hAnsi="仿宋" w:eastAsia="仿宋" w:cs="仿宋"/>
          <w:color w:val="auto"/>
          <w:sz w:val="28"/>
          <w:szCs w:val="28"/>
          <w:lang w:val="en-US"/>
        </w:rPr>
        <w:sectPr>
          <w:pgSz w:w="16838" w:h="11906" w:orient="landscape"/>
          <w:pgMar w:top="1134" w:right="1134" w:bottom="1134" w:left="1134" w:header="850" w:footer="850" w:gutter="0"/>
          <w:cols w:space="720" w:num="1"/>
          <w:docGrid w:type="lines" w:linePitch="436"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283"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grouping="f" rotation="f" text="f"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283"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8F22"/>
    <w:multiLevelType w:val="singleLevel"/>
    <w:tmpl w:val="58478F22"/>
    <w:lvl w:ilvl="0" w:tentative="0">
      <w:start w:val="1"/>
      <w:numFmt w:val="decimal"/>
      <w:suff w:val="nothing"/>
      <w:lvlText w:val="%1."/>
      <w:lvlJc w:val="left"/>
    </w:lvl>
  </w:abstractNum>
  <w:abstractNum w:abstractNumId="1">
    <w:nsid w:val="58478F96"/>
    <w:multiLevelType w:val="singleLevel"/>
    <w:tmpl w:val="58478F96"/>
    <w:lvl w:ilvl="0" w:tentative="0">
      <w:start w:val="1"/>
      <w:numFmt w:val="decimal"/>
      <w:suff w:val="nothing"/>
      <w:lvlText w:val="%1."/>
      <w:lvlJc w:val="left"/>
    </w:lvl>
  </w:abstractNum>
  <w:abstractNum w:abstractNumId="2">
    <w:nsid w:val="5847913C"/>
    <w:multiLevelType w:val="singleLevel"/>
    <w:tmpl w:val="5847913C"/>
    <w:lvl w:ilvl="0" w:tentative="0">
      <w:start w:val="5"/>
      <w:numFmt w:val="decimal"/>
      <w:suff w:val="nothing"/>
      <w:lvlText w:val="%1."/>
      <w:lvlJc w:val="left"/>
    </w:lvl>
  </w:abstractNum>
  <w:abstractNum w:abstractNumId="3">
    <w:nsid w:val="5847922F"/>
    <w:multiLevelType w:val="singleLevel"/>
    <w:tmpl w:val="5847922F"/>
    <w:lvl w:ilvl="0" w:tentative="0">
      <w:start w:val="8"/>
      <w:numFmt w:val="decimal"/>
      <w:suff w:val="nothing"/>
      <w:lvlText w:val="%1."/>
      <w:lvlJc w:val="left"/>
    </w:lvl>
  </w:abstractNum>
  <w:abstractNum w:abstractNumId="4">
    <w:nsid w:val="58479298"/>
    <w:multiLevelType w:val="singleLevel"/>
    <w:tmpl w:val="58479298"/>
    <w:lvl w:ilvl="0" w:tentative="0">
      <w:start w:val="7"/>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763629"/>
    <w:rsid w:val="42763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2024-10-22T02:31:00Z</dcterms:created>
  <dc:creator>admin</dc:creator>
  <cp:lastModifiedBy>admin</cp:lastModifiedBy>
  <dcterms:modified xsi:type="dcterms:W3CDTF">2024-10-22T02:32:08Z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