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textAlignment w:val="auto"/>
        <w:outlineLvl w:val="9"/>
        <w:rPr>
          <w:rFonts w:hint="default" w:ascii="Times New Roman" w:hAnsi="Times New Roman" w:eastAsia="黑体" w:cs="Times New Roman"/>
          <w:b w:val="0"/>
          <w:bCs w:val="0"/>
          <w:color w:val="000000"/>
          <w:kern w:val="2"/>
          <w:sz w:val="32"/>
          <w:szCs w:val="32"/>
          <w:lang w:val="en-US" w:eastAsia="zh-CN" w:bidi="ar-SA"/>
        </w:rPr>
      </w:pPr>
      <w:r>
        <w:rPr>
          <w:rFonts w:hint="default" w:ascii="Times New Roman" w:hAnsi="Times New Roman" w:eastAsia="黑体" w:cs="Times New Roman"/>
          <w:b w:val="0"/>
          <w:bCs w:val="0"/>
          <w:color w:val="000000"/>
          <w:kern w:val="2"/>
          <w:sz w:val="32"/>
          <w:szCs w:val="32"/>
          <w:lang w:val="en-US" w:eastAsia="zh-CN" w:bidi="ar-SA"/>
        </w:rPr>
        <w:t>附  件</w:t>
      </w:r>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textAlignment w:val="auto"/>
        <w:outlineLvl w:val="9"/>
        <w:rPr>
          <w:rFonts w:hint="default" w:ascii="Times New Roman" w:hAnsi="Times New Roman" w:eastAsia="黑体" w:cs="Times New Roman"/>
          <w:b w:val="0"/>
          <w:bCs w:val="0"/>
          <w:color w:val="000000"/>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360" w:afterLines="0" w:afterAutospacing="0" w:line="560" w:lineRule="exact"/>
        <w:ind w:left="0" w:leftChars="0" w:right="0" w:rightChars="0" w:firstLine="0" w:firstLineChars="0"/>
        <w:jc w:val="center"/>
        <w:textAlignment w:val="auto"/>
        <w:outlineLvl w:val="9"/>
        <w:rPr>
          <w:rStyle w:val="5"/>
          <w:rFonts w:hint="default" w:ascii="Times New Roman" w:hAnsi="Times New Roman" w:eastAsia="方正小标宋简体" w:cs="Times New Roman"/>
          <w:b w:val="0"/>
          <w:bCs/>
          <w:color w:val="000000"/>
          <w:sz w:val="44"/>
          <w:szCs w:val="44"/>
        </w:rPr>
      </w:pPr>
      <w:bookmarkStart w:id="0" w:name="_GoBack"/>
      <w:r>
        <w:rPr>
          <w:rStyle w:val="5"/>
          <w:rFonts w:hint="default" w:ascii="Times New Roman" w:hAnsi="Times New Roman" w:eastAsia="方正小标宋简体" w:cs="Times New Roman"/>
          <w:b w:val="0"/>
          <w:bCs/>
          <w:color w:val="000000"/>
          <w:sz w:val="44"/>
          <w:szCs w:val="44"/>
        </w:rPr>
        <w:t>重点任务分工及进度安排表</w:t>
      </w:r>
    </w:p>
    <w:bookmarkEnd w:id="0"/>
    <w:tbl>
      <w:tblPr>
        <w:tblStyle w:val="6"/>
        <w:tblW w:w="928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04"/>
        <w:gridCol w:w="4204"/>
        <w:gridCol w:w="2957"/>
        <w:gridCol w:w="15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671" w:hRule="atLeast"/>
          <w:jc w:val="center"/>
        </w:trPr>
        <w:tc>
          <w:tcPr>
            <w:tcW w:w="60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黑体" w:hAnsi="黑体" w:eastAsia="黑体" w:cs="黑体"/>
                <w:color w:val="000000"/>
                <w:sz w:val="28"/>
                <w:szCs w:val="28"/>
              </w:rPr>
            </w:pPr>
            <w:r>
              <w:rPr>
                <w:rFonts w:hint="eastAsia" w:ascii="黑体" w:hAnsi="黑体" w:eastAsia="黑体" w:cs="黑体"/>
                <w:color w:val="000000"/>
                <w:sz w:val="28"/>
                <w:szCs w:val="28"/>
              </w:rPr>
              <w:t>序号</w:t>
            </w:r>
          </w:p>
        </w:tc>
        <w:tc>
          <w:tcPr>
            <w:tcW w:w="420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黑体" w:hAnsi="黑体" w:eastAsia="黑体" w:cs="黑体"/>
                <w:color w:val="000000"/>
                <w:sz w:val="28"/>
                <w:szCs w:val="28"/>
              </w:rPr>
            </w:pPr>
            <w:r>
              <w:rPr>
                <w:rFonts w:hint="eastAsia" w:ascii="黑体" w:hAnsi="黑体" w:eastAsia="黑体" w:cs="黑体"/>
                <w:color w:val="000000"/>
                <w:sz w:val="28"/>
                <w:szCs w:val="28"/>
              </w:rPr>
              <w:t>工作任务</w:t>
            </w:r>
          </w:p>
        </w:tc>
        <w:tc>
          <w:tcPr>
            <w:tcW w:w="2957"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黑体" w:hAnsi="黑体" w:eastAsia="黑体" w:cs="黑体"/>
                <w:color w:val="000000"/>
                <w:sz w:val="28"/>
                <w:szCs w:val="28"/>
              </w:rPr>
            </w:pPr>
            <w:r>
              <w:rPr>
                <w:rFonts w:hint="eastAsia" w:ascii="黑体" w:hAnsi="黑体" w:eastAsia="黑体" w:cs="黑体"/>
                <w:color w:val="000000"/>
                <w:sz w:val="28"/>
                <w:szCs w:val="28"/>
              </w:rPr>
              <w:t>责任单位</w:t>
            </w:r>
          </w:p>
        </w:tc>
        <w:tc>
          <w:tcPr>
            <w:tcW w:w="152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黑体" w:hAnsi="黑体" w:eastAsia="黑体" w:cs="黑体"/>
                <w:color w:val="000000"/>
                <w:sz w:val="28"/>
                <w:szCs w:val="28"/>
              </w:rPr>
            </w:pPr>
            <w:r>
              <w:rPr>
                <w:rFonts w:hint="eastAsia" w:ascii="黑体" w:hAnsi="黑体" w:eastAsia="黑体" w:cs="黑体"/>
                <w:color w:val="000000"/>
                <w:sz w:val="28"/>
                <w:szCs w:val="28"/>
              </w:rPr>
              <w:t>时间进度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1425" w:hRule="atLeast"/>
          <w:jc w:val="center"/>
        </w:trPr>
        <w:tc>
          <w:tcPr>
            <w:tcW w:w="60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420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57" w:leftChars="0" w:right="57"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探索捐赠知识产权收益、技术、股权、有价证劵等新型捐赠方式</w:t>
            </w:r>
          </w:p>
        </w:tc>
        <w:tc>
          <w:tcPr>
            <w:tcW w:w="2957"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57" w:leftChars="0" w:right="57"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区民政局、区国税局、区地税局、区科技局、区财政局</w:t>
            </w:r>
          </w:p>
        </w:tc>
        <w:tc>
          <w:tcPr>
            <w:tcW w:w="152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57" w:leftChars="0" w:right="57"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持续实施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1415" w:hRule="atLeast"/>
          <w:jc w:val="center"/>
        </w:trPr>
        <w:tc>
          <w:tcPr>
            <w:tcW w:w="60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420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57" w:leftChars="0" w:right="57"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动员社会公众积极参与志愿服务，构建形式多样、内容丰富、机制健全、覆盖城乡的志愿服务体系</w:t>
            </w:r>
          </w:p>
        </w:tc>
        <w:tc>
          <w:tcPr>
            <w:tcW w:w="2957"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57" w:leftChars="0" w:right="57"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区文明办、区民政局、区</w:t>
            </w:r>
            <w:r>
              <w:rPr>
                <w:rFonts w:hint="eastAsia" w:ascii="仿宋_GB2312" w:hAnsi="仿宋_GB2312" w:eastAsia="仿宋_GB2312" w:cs="仿宋_GB2312"/>
                <w:color w:val="000000"/>
                <w:sz w:val="28"/>
                <w:szCs w:val="28"/>
                <w:lang w:eastAsia="zh-CN"/>
              </w:rPr>
              <w:t>总</w:t>
            </w:r>
            <w:r>
              <w:rPr>
                <w:rFonts w:hint="eastAsia" w:ascii="仿宋_GB2312" w:hAnsi="仿宋_GB2312" w:eastAsia="仿宋_GB2312" w:cs="仿宋_GB2312"/>
                <w:color w:val="000000"/>
                <w:sz w:val="28"/>
                <w:szCs w:val="28"/>
              </w:rPr>
              <w:t>工会、团</w:t>
            </w:r>
            <w:r>
              <w:rPr>
                <w:rFonts w:hint="eastAsia" w:ascii="仿宋_GB2312" w:hAnsi="仿宋_GB2312" w:eastAsia="仿宋_GB2312" w:cs="仿宋_GB2312"/>
                <w:color w:val="000000"/>
                <w:sz w:val="28"/>
                <w:szCs w:val="28"/>
                <w:lang w:eastAsia="zh-CN"/>
              </w:rPr>
              <w:t>区</w:t>
            </w:r>
            <w:r>
              <w:rPr>
                <w:rFonts w:hint="eastAsia" w:ascii="仿宋_GB2312" w:hAnsi="仿宋_GB2312" w:eastAsia="仿宋_GB2312" w:cs="仿宋_GB2312"/>
                <w:color w:val="000000"/>
                <w:sz w:val="28"/>
                <w:szCs w:val="28"/>
              </w:rPr>
              <w:t>委、区妇联</w:t>
            </w:r>
          </w:p>
        </w:tc>
        <w:tc>
          <w:tcPr>
            <w:tcW w:w="152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57" w:leftChars="0" w:right="57"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持续实施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1924" w:hRule="atLeast"/>
          <w:jc w:val="center"/>
        </w:trPr>
        <w:tc>
          <w:tcPr>
            <w:tcW w:w="60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420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57" w:leftChars="0" w:right="57"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引导社会公众积极捐赠家庭闲置物品。广泛设立社会捐助站点，发挥网络捐赠技术优势，方便群众就近就便开展捐赠</w:t>
            </w:r>
          </w:p>
        </w:tc>
        <w:tc>
          <w:tcPr>
            <w:tcW w:w="2957"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57" w:leftChars="0" w:right="57"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区民政局、区发</w:t>
            </w:r>
            <w:r>
              <w:rPr>
                <w:rFonts w:hint="eastAsia" w:ascii="仿宋_GB2312" w:hAnsi="仿宋_GB2312" w:eastAsia="仿宋_GB2312" w:cs="仿宋_GB2312"/>
                <w:color w:val="000000"/>
                <w:sz w:val="28"/>
                <w:szCs w:val="28"/>
                <w:lang w:eastAsia="zh-CN"/>
              </w:rPr>
              <w:t>改统计局</w:t>
            </w:r>
          </w:p>
        </w:tc>
        <w:tc>
          <w:tcPr>
            <w:tcW w:w="152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57" w:leftChars="0" w:right="57"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2016年12月底前出台具体措施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1412" w:hRule="atLeast"/>
          <w:jc w:val="center"/>
        </w:trPr>
        <w:tc>
          <w:tcPr>
            <w:tcW w:w="60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420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57" w:leftChars="0" w:right="57"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健全社会救助和慈善资源信息对接机制</w:t>
            </w:r>
          </w:p>
        </w:tc>
        <w:tc>
          <w:tcPr>
            <w:tcW w:w="2957"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57" w:leftChars="0" w:right="57"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区民政局、区教体局、区卫计委、区住</w:t>
            </w:r>
            <w:r>
              <w:rPr>
                <w:rFonts w:hint="eastAsia" w:ascii="仿宋_GB2312" w:hAnsi="仿宋_GB2312" w:eastAsia="仿宋_GB2312" w:cs="仿宋_GB2312"/>
                <w:color w:val="000000"/>
                <w:sz w:val="28"/>
                <w:szCs w:val="28"/>
                <w:lang w:eastAsia="zh-CN"/>
              </w:rPr>
              <w:t>建</w:t>
            </w:r>
            <w:r>
              <w:rPr>
                <w:rFonts w:hint="eastAsia" w:ascii="仿宋_GB2312" w:hAnsi="仿宋_GB2312" w:eastAsia="仿宋_GB2312" w:cs="仿宋_GB2312"/>
                <w:color w:val="000000"/>
                <w:sz w:val="28"/>
                <w:szCs w:val="28"/>
              </w:rPr>
              <w:t>局、区人社局、区财政局</w:t>
            </w:r>
          </w:p>
        </w:tc>
        <w:tc>
          <w:tcPr>
            <w:tcW w:w="152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57" w:leftChars="0" w:right="57"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持续实施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997" w:hRule="atLeast"/>
          <w:jc w:val="center"/>
        </w:trPr>
        <w:tc>
          <w:tcPr>
            <w:tcW w:w="60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420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57" w:leftChars="0" w:right="57"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落实慈善捐赠税收政策</w:t>
            </w:r>
          </w:p>
        </w:tc>
        <w:tc>
          <w:tcPr>
            <w:tcW w:w="2957"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57" w:leftChars="0" w:right="57"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区财政局、区国税局、区地税局</w:t>
            </w:r>
          </w:p>
        </w:tc>
        <w:tc>
          <w:tcPr>
            <w:tcW w:w="152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57" w:leftChars="0" w:right="57"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持续实施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1365" w:hRule="atLeast"/>
          <w:jc w:val="center"/>
        </w:trPr>
        <w:tc>
          <w:tcPr>
            <w:tcW w:w="60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420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57" w:leftChars="0" w:right="57"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以扶贫济困类项目为重点，加大政府财政资金向社会组织购买服务力度</w:t>
            </w:r>
          </w:p>
        </w:tc>
        <w:tc>
          <w:tcPr>
            <w:tcW w:w="2957"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57" w:leftChars="0" w:right="57"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区财政局、区民政局等相关部门</w:t>
            </w:r>
          </w:p>
        </w:tc>
        <w:tc>
          <w:tcPr>
            <w:tcW w:w="152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57" w:leftChars="0" w:right="57"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持续实施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1735" w:hRule="atLeast"/>
          <w:jc w:val="center"/>
        </w:trPr>
        <w:tc>
          <w:tcPr>
            <w:tcW w:w="60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7</w:t>
            </w:r>
          </w:p>
        </w:tc>
        <w:tc>
          <w:tcPr>
            <w:tcW w:w="420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57" w:leftChars="0" w:right="57"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倡导募用分离，支持在款物募集方面有优势的慈善组织将募得物用于资助有服务专长的慈善组织运作项目</w:t>
            </w:r>
          </w:p>
        </w:tc>
        <w:tc>
          <w:tcPr>
            <w:tcW w:w="2957"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57" w:leftChars="0" w:right="57"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区民政局</w:t>
            </w:r>
          </w:p>
        </w:tc>
        <w:tc>
          <w:tcPr>
            <w:tcW w:w="152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57" w:leftChars="0" w:right="57"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持续实施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1740" w:hRule="atLeast"/>
          <w:jc w:val="center"/>
        </w:trPr>
        <w:tc>
          <w:tcPr>
            <w:tcW w:w="60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8</w:t>
            </w:r>
          </w:p>
        </w:tc>
        <w:tc>
          <w:tcPr>
            <w:tcW w:w="420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57" w:leftChars="0" w:right="57"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强化慈善组织信息公开责任。鼓励新闻媒体为慈善组织的信息公开提供帮助</w:t>
            </w:r>
          </w:p>
        </w:tc>
        <w:tc>
          <w:tcPr>
            <w:tcW w:w="2957"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57" w:leftChars="0" w:right="57"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区</w:t>
            </w:r>
            <w:r>
              <w:rPr>
                <w:rFonts w:hint="eastAsia" w:ascii="仿宋_GB2312" w:hAnsi="仿宋_GB2312" w:eastAsia="仿宋_GB2312" w:cs="仿宋_GB2312"/>
                <w:color w:val="000000"/>
                <w:sz w:val="28"/>
                <w:szCs w:val="28"/>
                <w:lang w:eastAsia="zh-CN"/>
              </w:rPr>
              <w:t>委</w:t>
            </w:r>
            <w:r>
              <w:rPr>
                <w:rFonts w:hint="eastAsia" w:ascii="仿宋_GB2312" w:hAnsi="仿宋_GB2312" w:eastAsia="仿宋_GB2312" w:cs="仿宋_GB2312"/>
                <w:color w:val="000000"/>
                <w:sz w:val="28"/>
                <w:szCs w:val="28"/>
              </w:rPr>
              <w:t>宣传部、区民政局</w:t>
            </w:r>
            <w:r>
              <w:rPr>
                <w:rFonts w:hint="eastAsia" w:ascii="仿宋_GB2312" w:hAnsi="仿宋_GB2312" w:eastAsia="仿宋_GB2312" w:cs="仿宋_GB2312"/>
                <w:color w:val="000000"/>
                <w:sz w:val="28"/>
                <w:szCs w:val="28"/>
                <w:lang w:eastAsia="zh-CN"/>
              </w:rPr>
              <w:t>、区文化旅游局</w:t>
            </w:r>
          </w:p>
        </w:tc>
        <w:tc>
          <w:tcPr>
            <w:tcW w:w="152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57" w:leftChars="0" w:right="57"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2016年12月底前出台具体措施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1090" w:hRule="atLeast"/>
          <w:jc w:val="center"/>
        </w:trPr>
        <w:tc>
          <w:tcPr>
            <w:tcW w:w="60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9</w:t>
            </w:r>
          </w:p>
        </w:tc>
        <w:tc>
          <w:tcPr>
            <w:tcW w:w="420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57" w:leftChars="0" w:right="57"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建立健全慈善活动和慈善工作责任追究制度</w:t>
            </w:r>
          </w:p>
        </w:tc>
        <w:tc>
          <w:tcPr>
            <w:tcW w:w="2957"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57" w:leftChars="0" w:right="57"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区民政局、</w:t>
            </w:r>
            <w:r>
              <w:rPr>
                <w:rFonts w:hint="eastAsia" w:ascii="仿宋_GB2312" w:hAnsi="仿宋_GB2312" w:eastAsia="仿宋_GB2312" w:cs="仿宋_GB2312"/>
                <w:color w:val="000000"/>
                <w:sz w:val="28"/>
                <w:szCs w:val="28"/>
                <w:lang w:eastAsia="zh-CN"/>
              </w:rPr>
              <w:t>辖区各公安分局、区外侨办</w:t>
            </w:r>
          </w:p>
        </w:tc>
        <w:tc>
          <w:tcPr>
            <w:tcW w:w="152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57" w:leftChars="0" w:right="57"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持续实施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1151" w:hRule="atLeast"/>
          <w:jc w:val="center"/>
        </w:trPr>
        <w:tc>
          <w:tcPr>
            <w:tcW w:w="60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10</w:t>
            </w:r>
          </w:p>
        </w:tc>
        <w:tc>
          <w:tcPr>
            <w:tcW w:w="420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57" w:leftChars="0" w:right="57"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建立和完善慈善表彰奖励制度</w:t>
            </w:r>
          </w:p>
        </w:tc>
        <w:tc>
          <w:tcPr>
            <w:tcW w:w="2957"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57" w:leftChars="0" w:right="57"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区</w:t>
            </w:r>
            <w:r>
              <w:rPr>
                <w:rFonts w:hint="eastAsia" w:ascii="仿宋_GB2312" w:hAnsi="仿宋_GB2312" w:eastAsia="仿宋_GB2312" w:cs="仿宋_GB2312"/>
                <w:color w:val="000000"/>
                <w:sz w:val="28"/>
                <w:szCs w:val="28"/>
                <w:lang w:eastAsia="zh-CN"/>
              </w:rPr>
              <w:t>委</w:t>
            </w:r>
            <w:r>
              <w:rPr>
                <w:rFonts w:hint="eastAsia" w:ascii="仿宋_GB2312" w:hAnsi="仿宋_GB2312" w:eastAsia="仿宋_GB2312" w:cs="仿宋_GB2312"/>
                <w:color w:val="000000"/>
                <w:sz w:val="28"/>
                <w:szCs w:val="28"/>
              </w:rPr>
              <w:t>宣传部、区民政局、区人社局</w:t>
            </w:r>
          </w:p>
        </w:tc>
        <w:tc>
          <w:tcPr>
            <w:tcW w:w="152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57" w:leftChars="0" w:right="57"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持续实施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1505" w:hRule="atLeast"/>
          <w:jc w:val="center"/>
        </w:trPr>
        <w:tc>
          <w:tcPr>
            <w:tcW w:w="60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11</w:t>
            </w:r>
          </w:p>
        </w:tc>
        <w:tc>
          <w:tcPr>
            <w:tcW w:w="420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57" w:leftChars="0" w:right="57"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完善公民志愿服务记录制度，按照国家有关规定建立完善志愿者嘉许和回馈制度</w:t>
            </w:r>
          </w:p>
        </w:tc>
        <w:tc>
          <w:tcPr>
            <w:tcW w:w="2957"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57" w:leftChars="0" w:right="57"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区文明办、区民政局、团</w:t>
            </w:r>
            <w:r>
              <w:rPr>
                <w:rFonts w:hint="eastAsia" w:ascii="仿宋_GB2312" w:hAnsi="仿宋_GB2312" w:eastAsia="仿宋_GB2312" w:cs="仿宋_GB2312"/>
                <w:color w:val="000000"/>
                <w:sz w:val="28"/>
                <w:szCs w:val="28"/>
                <w:lang w:eastAsia="zh-CN"/>
              </w:rPr>
              <w:t>区</w:t>
            </w:r>
            <w:r>
              <w:rPr>
                <w:rFonts w:hint="eastAsia" w:ascii="仿宋_GB2312" w:hAnsi="仿宋_GB2312" w:eastAsia="仿宋_GB2312" w:cs="仿宋_GB2312"/>
                <w:color w:val="000000"/>
                <w:sz w:val="28"/>
                <w:szCs w:val="28"/>
              </w:rPr>
              <w:t>委</w:t>
            </w:r>
          </w:p>
        </w:tc>
        <w:tc>
          <w:tcPr>
            <w:tcW w:w="152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57" w:leftChars="0" w:right="57"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持续实施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1740" w:hRule="atLeast"/>
          <w:jc w:val="center"/>
        </w:trPr>
        <w:tc>
          <w:tcPr>
            <w:tcW w:w="60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12</w:t>
            </w:r>
          </w:p>
        </w:tc>
        <w:tc>
          <w:tcPr>
            <w:tcW w:w="420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57" w:leftChars="0" w:right="57"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完善慈善人才培养政策</w:t>
            </w:r>
          </w:p>
        </w:tc>
        <w:tc>
          <w:tcPr>
            <w:tcW w:w="2957"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57" w:leftChars="0" w:right="57"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区教体局、区人社局、区民政局</w:t>
            </w:r>
          </w:p>
        </w:tc>
        <w:tc>
          <w:tcPr>
            <w:tcW w:w="152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57" w:leftChars="0" w:right="57"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2016年12月底前出台具体措施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1098" w:hRule="atLeast"/>
          <w:jc w:val="center"/>
        </w:trPr>
        <w:tc>
          <w:tcPr>
            <w:tcW w:w="60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13</w:t>
            </w:r>
          </w:p>
        </w:tc>
        <w:tc>
          <w:tcPr>
            <w:tcW w:w="420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57" w:leftChars="0" w:right="57"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加大对慈善工作的宣传力度</w:t>
            </w:r>
          </w:p>
        </w:tc>
        <w:tc>
          <w:tcPr>
            <w:tcW w:w="2957"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57" w:leftChars="0" w:right="57"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区民政局、区</w:t>
            </w:r>
            <w:r>
              <w:rPr>
                <w:rFonts w:hint="eastAsia" w:ascii="仿宋_GB2312" w:hAnsi="仿宋_GB2312" w:eastAsia="仿宋_GB2312" w:cs="仿宋_GB2312"/>
                <w:color w:val="000000"/>
                <w:sz w:val="28"/>
                <w:szCs w:val="28"/>
                <w:lang w:eastAsia="zh-CN"/>
              </w:rPr>
              <w:t>委</w:t>
            </w:r>
            <w:r>
              <w:rPr>
                <w:rFonts w:hint="eastAsia" w:ascii="仿宋_GB2312" w:hAnsi="仿宋_GB2312" w:eastAsia="仿宋_GB2312" w:cs="仿宋_GB2312"/>
                <w:color w:val="000000"/>
                <w:sz w:val="28"/>
                <w:szCs w:val="28"/>
              </w:rPr>
              <w:t>宣传部、区文化旅游局</w:t>
            </w:r>
          </w:p>
        </w:tc>
        <w:tc>
          <w:tcPr>
            <w:tcW w:w="152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57" w:leftChars="0" w:right="57"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持续实施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1099" w:hRule="atLeast"/>
          <w:jc w:val="center"/>
        </w:trPr>
        <w:tc>
          <w:tcPr>
            <w:tcW w:w="60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14</w:t>
            </w:r>
          </w:p>
        </w:tc>
        <w:tc>
          <w:tcPr>
            <w:tcW w:w="420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57" w:leftChars="0" w:right="57"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建立慈善信息平台</w:t>
            </w:r>
          </w:p>
        </w:tc>
        <w:tc>
          <w:tcPr>
            <w:tcW w:w="2957"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57" w:leftChars="0" w:right="57"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区民政局</w:t>
            </w:r>
          </w:p>
        </w:tc>
        <w:tc>
          <w:tcPr>
            <w:tcW w:w="152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57" w:leftChars="0" w:right="57"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2017年</w:t>
            </w: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rPr>
              <w:t>月底前建成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1955" w:hRule="atLeast"/>
          <w:jc w:val="center"/>
        </w:trPr>
        <w:tc>
          <w:tcPr>
            <w:tcW w:w="60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15</w:t>
            </w:r>
          </w:p>
        </w:tc>
        <w:tc>
          <w:tcPr>
            <w:tcW w:w="420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57" w:leftChars="0" w:right="57"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各街道办事处根据本意见</w:t>
            </w:r>
            <w:r>
              <w:rPr>
                <w:rFonts w:hint="eastAsia" w:ascii="仿宋_GB2312" w:hAnsi="仿宋_GB2312" w:eastAsia="仿宋_GB2312" w:cs="仿宋_GB2312"/>
                <w:color w:val="000000"/>
                <w:sz w:val="28"/>
                <w:szCs w:val="28"/>
                <w:lang w:eastAsia="zh-CN"/>
              </w:rPr>
              <w:t>要</w:t>
            </w:r>
            <w:r>
              <w:rPr>
                <w:rFonts w:hint="eastAsia" w:ascii="仿宋_GB2312" w:hAnsi="仿宋_GB2312" w:eastAsia="仿宋_GB2312" w:cs="仿宋_GB2312"/>
                <w:color w:val="000000"/>
                <w:sz w:val="28"/>
                <w:szCs w:val="28"/>
              </w:rPr>
              <w:t>求，结合实际，抓紧制定配套落实措施</w:t>
            </w:r>
          </w:p>
        </w:tc>
        <w:tc>
          <w:tcPr>
            <w:tcW w:w="2957"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57" w:leftChars="0" w:right="57"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各街道办事处</w:t>
            </w:r>
          </w:p>
        </w:tc>
        <w:tc>
          <w:tcPr>
            <w:tcW w:w="152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57" w:leftChars="0" w:right="57"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2016年12月底前出台具体措施</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1178" w:rightChars="0" w:firstLine="641" w:firstLineChars="0"/>
        <w:jc w:val="both"/>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right="1178" w:rightChars="0"/>
        <w:jc w:val="both"/>
        <w:textAlignment w:val="auto"/>
        <w:outlineLvl w:val="9"/>
        <w:rPr>
          <w:rFonts w:hint="default" w:ascii="仿宋_GB2312" w:hAnsi="仿宋_GB2312" w:eastAsia="仿宋_GB2312" w:cs="仿宋_GB2312"/>
          <w:color w:val="auto"/>
          <w:sz w:val="32"/>
          <w:szCs w:val="32"/>
          <w:lang w:eastAsia="zh-CN"/>
        </w:rPr>
      </w:pPr>
    </w:p>
    <w:p/>
    <w:sectPr>
      <w:headerReference r:id="rId3" w:type="default"/>
      <w:footerReference r:id="rId4" w:type="default"/>
      <w:pgSz w:w="11906" w:h="16838"/>
      <w:pgMar w:top="1871" w:right="1474" w:bottom="1701" w:left="1474" w:header="1077" w:footer="130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01"/>
    <w:family w:val="decorative"/>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283"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grouping="f" rotation="f" text="f"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283"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1966FF"/>
    <w:rsid w:val="11196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spacing w:before="100" w:beforeLines="0" w:beforeAutospacing="1" w:after="100" w:afterLines="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2024-10-22T07:27:00Z</dcterms:created>
  <dc:creator>admin</dc:creator>
  <cp:lastModifiedBy>admin</cp:lastModifiedBy>
  <dcterms:modified xsi:type="dcterms:W3CDTF">2024-10-22T07:28:08Z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