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N/>
        <w:bidi w:val="0"/>
        <w:spacing w:before="0" w:beforeLines="0" w:after="0" w:afterLines="0" w:line="590" w:lineRule="exact"/>
        <w:ind w:right="0" w:rightChars="0"/>
        <w:outlineLvl w:val="9"/>
        <w:rPr>
          <w:rFonts w:hint="eastAsia" w:eastAsia="黑体"/>
          <w:snapToGrid w:val="0"/>
          <w:kern w:val="0"/>
          <w:szCs w:val="32"/>
        </w:rPr>
      </w:pPr>
      <w:r>
        <w:rPr>
          <w:rFonts w:eastAsia="黑体"/>
          <w:snapToGrid w:val="0"/>
          <w:kern w:val="0"/>
          <w:szCs w:val="32"/>
        </w:rPr>
        <w:t>附件</w:t>
      </w:r>
      <w:r>
        <w:rPr>
          <w:rFonts w:hint="eastAsia" w:eastAsia="黑体"/>
          <w:snapToGrid w:val="0"/>
          <w:kern w:val="0"/>
          <w:szCs w:val="32"/>
        </w:rPr>
        <w:t>3</w:t>
      </w:r>
    </w:p>
    <w:p>
      <w:pPr>
        <w:keepNext w:val="0"/>
        <w:keepLines w:val="0"/>
        <w:pageBreakBefore w:val="0"/>
        <w:widowControl w:val="0"/>
        <w:kinsoku/>
        <w:wordWrap/>
        <w:topLinePunct w:val="0"/>
        <w:autoSpaceDN/>
        <w:bidi w:val="0"/>
        <w:spacing w:before="0" w:beforeLines="0" w:after="0" w:afterLines="0" w:line="590" w:lineRule="exact"/>
        <w:ind w:right="0" w:rightChars="0"/>
        <w:outlineLvl w:val="9"/>
        <w:rPr>
          <w:rFonts w:hint="eastAsia" w:eastAsia="黑体"/>
          <w:snapToGrid w:val="0"/>
          <w:kern w:val="0"/>
          <w:szCs w:val="32"/>
        </w:rPr>
      </w:pPr>
    </w:p>
    <w:p>
      <w:pPr>
        <w:keepNext w:val="0"/>
        <w:keepLines w:val="0"/>
        <w:pageBreakBefore w:val="0"/>
        <w:widowControl w:val="0"/>
        <w:kinsoku/>
        <w:wordWrap/>
        <w:topLinePunct w:val="0"/>
        <w:autoSpaceDN/>
        <w:bidi w:val="0"/>
        <w:spacing w:before="0" w:beforeLines="0" w:after="0" w:afterLines="0" w:line="590" w:lineRule="exact"/>
        <w:ind w:right="0" w:rightChars="0"/>
        <w:jc w:val="center"/>
        <w:outlineLvl w:val="9"/>
        <w:rPr>
          <w:rFonts w:hint="eastAsia" w:ascii="方正小标宋简体" w:hAnsi="方正小标宋简体" w:eastAsia="方正小标宋简体" w:cs="方正小标宋简体"/>
          <w:bCs/>
          <w:snapToGrid w:val="0"/>
          <w:kern w:val="0"/>
          <w:sz w:val="44"/>
          <w:szCs w:val="44"/>
        </w:rPr>
      </w:pPr>
      <w:bookmarkStart w:id="0" w:name="_GoBack"/>
      <w:r>
        <w:rPr>
          <w:rFonts w:hint="eastAsia" w:ascii="方正小标宋简体" w:hAnsi="方正小标宋简体" w:eastAsia="方正小标宋简体" w:cs="方正小标宋简体"/>
          <w:bCs/>
          <w:snapToGrid w:val="0"/>
          <w:kern w:val="0"/>
          <w:sz w:val="44"/>
          <w:szCs w:val="44"/>
        </w:rPr>
        <w:t>金水区行政权力清单运行监督检查办法</w:t>
      </w:r>
    </w:p>
    <w:bookmarkEnd w:id="0"/>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rPr>
      </w:pPr>
    </w:p>
    <w:p>
      <w:pPr>
        <w:keepNext w:val="0"/>
        <w:keepLines w:val="0"/>
        <w:pageBreakBefore w:val="0"/>
        <w:widowControl w:val="0"/>
        <w:kinsoku/>
        <w:wordWrap/>
        <w:topLinePunct w:val="0"/>
        <w:autoSpaceDN/>
        <w:bidi w:val="0"/>
        <w:spacing w:before="0" w:beforeLines="0" w:after="0" w:afterLines="0" w:line="590" w:lineRule="exact"/>
        <w:ind w:right="0" w:rightChars="0"/>
        <w:jc w:val="center"/>
        <w:outlineLvl w:val="9"/>
        <w:rPr>
          <w:rFonts w:eastAsia="黑体"/>
          <w:snapToGrid w:val="0"/>
          <w:kern w:val="0"/>
          <w:szCs w:val="32"/>
        </w:rPr>
      </w:pPr>
      <w:r>
        <w:rPr>
          <w:rFonts w:eastAsia="黑体"/>
          <w:snapToGrid w:val="0"/>
          <w:kern w:val="0"/>
          <w:szCs w:val="32"/>
        </w:rPr>
        <w:t>第一章  总则</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第一条</w:t>
      </w:r>
      <w:r>
        <w:rPr>
          <w:snapToGrid w:val="0"/>
          <w:kern w:val="0"/>
          <w:szCs w:val="32"/>
        </w:rPr>
        <w:t>　</w:t>
      </w:r>
      <w:r>
        <w:rPr>
          <w:szCs w:val="32"/>
        </w:rPr>
        <w:t>为了深化行政管理体制改革，加快政府职能转变，规范权力公开透</w:t>
      </w:r>
      <w:r>
        <w:rPr>
          <w:rFonts w:hint="eastAsia" w:ascii="仿宋_GB2312" w:hAnsi="仿宋_GB2312" w:cs="仿宋_GB2312"/>
          <w:szCs w:val="32"/>
        </w:rPr>
        <w:t>明运行，构建行政权力清单设定和运行的监督检查管理体系，实现</w:t>
      </w:r>
      <w:r>
        <w:rPr>
          <w:rFonts w:hint="eastAsia" w:ascii="仿宋_GB2312" w:hAnsi="仿宋_GB2312" w:cs="仿宋_GB2312"/>
          <w:szCs w:val="32"/>
          <w:lang w:eastAsia="zh-CN"/>
        </w:rPr>
        <w:t>“</w:t>
      </w:r>
      <w:r>
        <w:rPr>
          <w:rFonts w:hint="eastAsia" w:ascii="仿宋_GB2312" w:hAnsi="仿宋_GB2312" w:cs="仿宋_GB2312"/>
          <w:szCs w:val="32"/>
        </w:rPr>
        <w:t>法无授权不可为，法定职责必须为</w:t>
      </w:r>
      <w:r>
        <w:rPr>
          <w:rFonts w:hint="eastAsia" w:ascii="仿宋_GB2312" w:hAnsi="仿宋_GB2312" w:cs="仿宋_GB2312"/>
          <w:szCs w:val="32"/>
          <w:lang w:eastAsia="zh-CN"/>
        </w:rPr>
        <w:t>”</w:t>
      </w:r>
      <w:r>
        <w:rPr>
          <w:rFonts w:hint="eastAsia" w:ascii="仿宋_GB2312" w:hAnsi="仿宋_GB2312" w:cs="仿宋_GB2312"/>
          <w:szCs w:val="32"/>
        </w:rPr>
        <w:t>。根据《郑州市金水区人民政</w:t>
      </w:r>
      <w:r>
        <w:rPr>
          <w:rFonts w:hint="default" w:ascii="Times New Roman" w:hAnsi="Times New Roman" w:cs="Times New Roman"/>
          <w:szCs w:val="32"/>
        </w:rPr>
        <w:t>府关于印发金水区全面推行五单一网制度改革工作实施方案的通知》（</w:t>
      </w:r>
      <w:r>
        <w:rPr>
          <w:rFonts w:hint="default" w:ascii="Times New Roman" w:hAnsi="Times New Roman" w:cs="Times New Roman"/>
          <w:bCs/>
          <w:szCs w:val="32"/>
        </w:rPr>
        <w:t>金政〔2014〕97号）</w:t>
      </w:r>
      <w:r>
        <w:rPr>
          <w:rFonts w:hint="default" w:ascii="Times New Roman" w:hAnsi="Times New Roman" w:cs="Times New Roman"/>
          <w:szCs w:val="32"/>
        </w:rPr>
        <w:t>、《郑州市金水区人民政府关于全面实施清单制度规范行政权力运行的通知》（金政〔2015〕98号）等有关规定，结合我区实</w:t>
      </w:r>
      <w:r>
        <w:rPr>
          <w:rFonts w:hint="eastAsia" w:ascii="仿宋_GB2312" w:hAnsi="仿宋_GB2312" w:cs="仿宋_GB2312"/>
          <w:szCs w:val="32"/>
        </w:rPr>
        <w:t>际，制定本办法。</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第二条</w:t>
      </w:r>
      <w:r>
        <w:rPr>
          <w:snapToGrid w:val="0"/>
          <w:kern w:val="0"/>
          <w:szCs w:val="32"/>
        </w:rPr>
        <w:t>　</w:t>
      </w:r>
      <w:r>
        <w:rPr>
          <w:rFonts w:hint="eastAsia"/>
          <w:szCs w:val="32"/>
        </w:rPr>
        <w:t>本区</w:t>
      </w:r>
      <w:r>
        <w:rPr>
          <w:szCs w:val="32"/>
        </w:rPr>
        <w:t>行政权力清单运行的监督检查工作，适用本办法。</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第三条</w:t>
      </w:r>
      <w:r>
        <w:rPr>
          <w:snapToGrid w:val="0"/>
          <w:kern w:val="0"/>
          <w:szCs w:val="32"/>
        </w:rPr>
        <w:t>　</w:t>
      </w:r>
      <w:r>
        <w:rPr>
          <w:szCs w:val="32"/>
        </w:rPr>
        <w:t>行政权力清单的监督检查工作由</w:t>
      </w:r>
      <w:r>
        <w:rPr>
          <w:rFonts w:hint="eastAsia"/>
          <w:szCs w:val="32"/>
        </w:rPr>
        <w:t>区</w:t>
      </w:r>
      <w:r>
        <w:rPr>
          <w:szCs w:val="32"/>
        </w:rPr>
        <w:t>人民政府组织实施，各</w:t>
      </w:r>
      <w:r>
        <w:rPr>
          <w:rFonts w:hint="eastAsia"/>
          <w:szCs w:val="32"/>
        </w:rPr>
        <w:t>相关单位</w:t>
      </w:r>
      <w:r>
        <w:rPr>
          <w:szCs w:val="32"/>
        </w:rPr>
        <w:t>负责本</w:t>
      </w:r>
      <w:r>
        <w:rPr>
          <w:rFonts w:hint="eastAsia"/>
          <w:szCs w:val="32"/>
        </w:rPr>
        <w:t>单位</w:t>
      </w:r>
      <w:r>
        <w:rPr>
          <w:szCs w:val="32"/>
        </w:rPr>
        <w:t>行政权力运行的具体监督检查工作。</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hint="eastAsia"/>
          <w:szCs w:val="32"/>
        </w:rPr>
        <w:t>区</w:t>
      </w:r>
      <w:r>
        <w:rPr>
          <w:szCs w:val="32"/>
        </w:rPr>
        <w:t>政府法制</w:t>
      </w:r>
      <w:r>
        <w:rPr>
          <w:rFonts w:hint="eastAsia"/>
          <w:szCs w:val="32"/>
        </w:rPr>
        <w:t>办</w:t>
      </w:r>
      <w:r>
        <w:rPr>
          <w:szCs w:val="32"/>
        </w:rPr>
        <w:t>负责</w:t>
      </w:r>
      <w:r>
        <w:rPr>
          <w:rFonts w:hint="eastAsia"/>
          <w:szCs w:val="32"/>
        </w:rPr>
        <w:t>区</w:t>
      </w:r>
      <w:r>
        <w:rPr>
          <w:szCs w:val="32"/>
        </w:rPr>
        <w:t>政府权力清单运行监督检查的督促指导，各</w:t>
      </w:r>
      <w:r>
        <w:rPr>
          <w:rFonts w:hint="eastAsia"/>
          <w:szCs w:val="32"/>
        </w:rPr>
        <w:t>单位</w:t>
      </w:r>
      <w:r>
        <w:rPr>
          <w:szCs w:val="32"/>
        </w:rPr>
        <w:t>在各自职责范围内做好相应的配合、协助工作。</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zCs w:val="32"/>
        </w:rPr>
      </w:pPr>
      <w:r>
        <w:rPr>
          <w:rFonts w:eastAsia="楷体_GB2312"/>
          <w:szCs w:val="32"/>
        </w:rPr>
        <w:t>第四条</w:t>
      </w:r>
      <w:r>
        <w:rPr>
          <w:szCs w:val="32"/>
        </w:rPr>
        <w:t>　行政权力清单运行监督管理对象包括</w:t>
      </w:r>
      <w:r>
        <w:rPr>
          <w:rFonts w:hint="eastAsia"/>
          <w:szCs w:val="32"/>
        </w:rPr>
        <w:t>区</w:t>
      </w:r>
      <w:r>
        <w:rPr>
          <w:szCs w:val="32"/>
        </w:rPr>
        <w:t>人民政府及其行政机关和法律、法规授权组织（以下简称各</w:t>
      </w:r>
      <w:r>
        <w:rPr>
          <w:rFonts w:hint="eastAsia"/>
          <w:szCs w:val="32"/>
        </w:rPr>
        <w:t>单位</w:t>
      </w:r>
      <w:r>
        <w:rPr>
          <w:szCs w:val="32"/>
        </w:rPr>
        <w:t>）及其工作人员。</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zCs w:val="32"/>
        </w:rPr>
      </w:pPr>
      <w:r>
        <w:rPr>
          <w:rFonts w:eastAsia="楷体_GB2312"/>
          <w:szCs w:val="32"/>
        </w:rPr>
        <w:t xml:space="preserve">第五条 </w:t>
      </w:r>
      <w:r>
        <w:rPr>
          <w:szCs w:val="32"/>
        </w:rPr>
        <w:t xml:space="preserve"> 行政权力的确定，必须有法律、法规、规章依据或法律的明确授权，并按照法定的程序行使。</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jc w:val="center"/>
        <w:outlineLvl w:val="9"/>
        <w:rPr>
          <w:rFonts w:eastAsia="黑体"/>
          <w:szCs w:val="32"/>
        </w:rPr>
      </w:pPr>
      <w:r>
        <w:rPr>
          <w:rFonts w:eastAsia="黑体"/>
          <w:szCs w:val="32"/>
        </w:rPr>
        <w:t>第二章  权力清单的运行</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zCs w:val="32"/>
        </w:rPr>
      </w:pPr>
      <w:r>
        <w:rPr>
          <w:rFonts w:eastAsia="楷体_GB2312"/>
          <w:szCs w:val="32"/>
        </w:rPr>
        <w:t>第六条</w:t>
      </w:r>
      <w:r>
        <w:rPr>
          <w:szCs w:val="32"/>
        </w:rPr>
        <w:t>　经过</w:t>
      </w:r>
      <w:r>
        <w:rPr>
          <w:rFonts w:hint="eastAsia"/>
          <w:szCs w:val="32"/>
          <w:lang w:eastAsia="zh-CN"/>
        </w:rPr>
        <w:t>“</w:t>
      </w:r>
      <w:r>
        <w:rPr>
          <w:szCs w:val="32"/>
        </w:rPr>
        <w:t>五单一网</w:t>
      </w:r>
      <w:r>
        <w:rPr>
          <w:rFonts w:hint="eastAsia"/>
          <w:szCs w:val="32"/>
          <w:lang w:eastAsia="zh-CN"/>
        </w:rPr>
        <w:t>”</w:t>
      </w:r>
      <w:r>
        <w:rPr>
          <w:szCs w:val="32"/>
        </w:rPr>
        <w:t>制度改革联席办审定确认的行政权力清单应在</w:t>
      </w:r>
      <w:r>
        <w:rPr>
          <w:rFonts w:hint="eastAsia"/>
          <w:szCs w:val="32"/>
        </w:rPr>
        <w:t>区政府网站、</w:t>
      </w:r>
      <w:r>
        <w:rPr>
          <w:szCs w:val="32"/>
        </w:rPr>
        <w:t>各</w:t>
      </w:r>
      <w:r>
        <w:rPr>
          <w:rFonts w:hint="eastAsia"/>
          <w:szCs w:val="32"/>
        </w:rPr>
        <w:t>单位</w:t>
      </w:r>
      <w:r>
        <w:rPr>
          <w:szCs w:val="32"/>
        </w:rPr>
        <w:t>网站或其他公开渠道主动向社会公开，主动接受社会监督。</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第七条</w:t>
      </w:r>
      <w:r>
        <w:rPr>
          <w:snapToGrid w:val="0"/>
          <w:kern w:val="0"/>
          <w:szCs w:val="32"/>
        </w:rPr>
        <w:t>　各</w:t>
      </w:r>
      <w:r>
        <w:rPr>
          <w:rFonts w:hint="eastAsia"/>
          <w:snapToGrid w:val="0"/>
          <w:kern w:val="0"/>
          <w:szCs w:val="32"/>
        </w:rPr>
        <w:t>单位</w:t>
      </w:r>
      <w:r>
        <w:rPr>
          <w:snapToGrid w:val="0"/>
          <w:kern w:val="0"/>
          <w:szCs w:val="32"/>
        </w:rPr>
        <w:t>严格按照法定程序，结合执法实践，优化行政权力的运行程序，简化行政相对人办事环节，减轻行政相对人负担，提高行政权力清单运行效能。</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第八条</w:t>
      </w:r>
      <w:r>
        <w:rPr>
          <w:snapToGrid w:val="0"/>
          <w:kern w:val="0"/>
          <w:szCs w:val="32"/>
        </w:rPr>
        <w:t>　各</w:t>
      </w:r>
      <w:r>
        <w:rPr>
          <w:rFonts w:hint="eastAsia"/>
          <w:snapToGrid w:val="0"/>
          <w:kern w:val="0"/>
          <w:szCs w:val="32"/>
        </w:rPr>
        <w:t>单位</w:t>
      </w:r>
      <w:r>
        <w:rPr>
          <w:snapToGrid w:val="0"/>
          <w:kern w:val="0"/>
          <w:szCs w:val="32"/>
        </w:rPr>
        <w:t>应固化行政权力清单运行程序，明确权力运行过程中各环节的办理时限和人员，优化权力运行流程图。</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第九条</w:t>
      </w:r>
      <w:r>
        <w:rPr>
          <w:snapToGrid w:val="0"/>
          <w:kern w:val="0"/>
          <w:szCs w:val="32"/>
        </w:rPr>
        <w:t>　各</w:t>
      </w:r>
      <w:r>
        <w:rPr>
          <w:rFonts w:hint="eastAsia"/>
          <w:snapToGrid w:val="0"/>
          <w:kern w:val="0"/>
          <w:szCs w:val="32"/>
        </w:rPr>
        <w:t>单位</w:t>
      </w:r>
      <w:r>
        <w:rPr>
          <w:snapToGrid w:val="0"/>
          <w:kern w:val="0"/>
          <w:szCs w:val="32"/>
        </w:rPr>
        <w:t>在履行法定职责的过程中，应坚持</w:t>
      </w:r>
      <w:r>
        <w:rPr>
          <w:rFonts w:hint="eastAsia"/>
          <w:snapToGrid w:val="0"/>
          <w:kern w:val="0"/>
          <w:szCs w:val="32"/>
          <w:lang w:eastAsia="zh-CN"/>
        </w:rPr>
        <w:t>“</w:t>
      </w:r>
      <w:r>
        <w:rPr>
          <w:snapToGrid w:val="0"/>
          <w:kern w:val="0"/>
          <w:szCs w:val="32"/>
        </w:rPr>
        <w:t>执法、服务、管理</w:t>
      </w:r>
      <w:r>
        <w:rPr>
          <w:rFonts w:hint="eastAsia"/>
          <w:snapToGrid w:val="0"/>
          <w:kern w:val="0"/>
          <w:szCs w:val="32"/>
          <w:lang w:eastAsia="zh-CN"/>
        </w:rPr>
        <w:t>”</w:t>
      </w:r>
      <w:r>
        <w:rPr>
          <w:snapToGrid w:val="0"/>
          <w:kern w:val="0"/>
          <w:szCs w:val="32"/>
        </w:rPr>
        <w:t>三位一体，把行政指导贯穿行政管理的全过程，引导行政相对人主动配合、自觉遵法守法，努力实现法律效果和社会效果的统一。</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第十条</w:t>
      </w:r>
      <w:r>
        <w:rPr>
          <w:snapToGrid w:val="0"/>
          <w:kern w:val="0"/>
          <w:szCs w:val="32"/>
        </w:rPr>
        <w:t>　各</w:t>
      </w:r>
      <w:r>
        <w:rPr>
          <w:rFonts w:hint="eastAsia"/>
          <w:snapToGrid w:val="0"/>
          <w:kern w:val="0"/>
          <w:szCs w:val="32"/>
        </w:rPr>
        <w:t>单位</w:t>
      </w:r>
      <w:r>
        <w:rPr>
          <w:snapToGrid w:val="0"/>
          <w:kern w:val="0"/>
          <w:szCs w:val="32"/>
        </w:rPr>
        <w:t>应对照行政权力清单，结合上级业务部门颁布的行政处罚裁量标准，全面修订、制定行政处罚裁量标准，并建立动态行政处罚裁量标准调整机制。</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第十一条</w:t>
      </w:r>
      <w:r>
        <w:rPr>
          <w:snapToGrid w:val="0"/>
          <w:kern w:val="0"/>
          <w:szCs w:val="32"/>
        </w:rPr>
        <w:t>　严格落实执法主体资格公示制度，根据机构改革情况，审核、确认、公布本级行政执法主体；未经确认、公布的，不得开展执法活动。</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依照法律、法规或者规章的规定，各</w:t>
      </w:r>
      <w:r>
        <w:rPr>
          <w:rFonts w:hint="eastAsia"/>
          <w:snapToGrid w:val="0"/>
          <w:kern w:val="0"/>
          <w:szCs w:val="32"/>
        </w:rPr>
        <w:t>单位</w:t>
      </w:r>
      <w:r>
        <w:rPr>
          <w:snapToGrid w:val="0"/>
          <w:kern w:val="0"/>
          <w:szCs w:val="32"/>
        </w:rPr>
        <w:t>可以在法定权限内委托符合法定条件的组织实施行政权力，并按照程序履行委托执法手续。</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各</w:t>
      </w:r>
      <w:r>
        <w:rPr>
          <w:rFonts w:hint="eastAsia"/>
          <w:snapToGrid w:val="0"/>
          <w:kern w:val="0"/>
          <w:szCs w:val="32"/>
        </w:rPr>
        <w:t>单位</w:t>
      </w:r>
      <w:r>
        <w:rPr>
          <w:snapToGrid w:val="0"/>
          <w:kern w:val="0"/>
          <w:szCs w:val="32"/>
        </w:rPr>
        <w:t>要严格实行执法人员持证上岗和资格管理制度，未取得执法资格，不得从事执法活动。</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第十二条</w:t>
      </w:r>
      <w:r>
        <w:rPr>
          <w:snapToGrid w:val="0"/>
          <w:kern w:val="0"/>
          <w:szCs w:val="32"/>
        </w:rPr>
        <w:t>　结合市政务服务网，建立行政权力运行全过程</w:t>
      </w:r>
      <w:r>
        <w:rPr>
          <w:rFonts w:hint="eastAsia"/>
          <w:snapToGrid w:val="0"/>
          <w:kern w:val="0"/>
          <w:szCs w:val="32"/>
          <w:lang w:eastAsia="zh-CN"/>
        </w:rPr>
        <w:t>“</w:t>
      </w:r>
      <w:r>
        <w:rPr>
          <w:snapToGrid w:val="0"/>
          <w:kern w:val="0"/>
          <w:szCs w:val="32"/>
        </w:rPr>
        <w:t>痕迹</w:t>
      </w:r>
      <w:r>
        <w:rPr>
          <w:rFonts w:hint="eastAsia"/>
          <w:snapToGrid w:val="0"/>
          <w:kern w:val="0"/>
          <w:szCs w:val="32"/>
          <w:lang w:eastAsia="zh-CN"/>
        </w:rPr>
        <w:t>”</w:t>
      </w:r>
      <w:r>
        <w:rPr>
          <w:snapToGrid w:val="0"/>
          <w:kern w:val="0"/>
          <w:szCs w:val="32"/>
        </w:rPr>
        <w:t>管理制度，综合互联网技术手段，对行政权力活动的全过程记录、跟踪、监控。</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第十三条</w:t>
      </w:r>
      <w:r>
        <w:rPr>
          <w:snapToGrid w:val="0"/>
          <w:kern w:val="0"/>
          <w:szCs w:val="32"/>
        </w:rPr>
        <w:t>　各</w:t>
      </w:r>
      <w:r>
        <w:rPr>
          <w:rFonts w:hint="eastAsia"/>
          <w:snapToGrid w:val="0"/>
          <w:kern w:val="0"/>
          <w:szCs w:val="32"/>
        </w:rPr>
        <w:t>单位</w:t>
      </w:r>
      <w:r>
        <w:rPr>
          <w:snapToGrid w:val="0"/>
          <w:kern w:val="0"/>
          <w:szCs w:val="32"/>
        </w:rPr>
        <w:t>应加强行政执法信息主动公开，行政权力事项结果产生（决定书送达）后应及时在</w:t>
      </w:r>
      <w:r>
        <w:rPr>
          <w:rFonts w:hint="eastAsia"/>
          <w:snapToGrid w:val="0"/>
          <w:kern w:val="0"/>
          <w:szCs w:val="32"/>
        </w:rPr>
        <w:t>相关政务网站</w:t>
      </w:r>
      <w:r>
        <w:rPr>
          <w:snapToGrid w:val="0"/>
          <w:kern w:val="0"/>
          <w:szCs w:val="32"/>
        </w:rPr>
        <w:t>上主动公开（涉及国家秘密、商业秘密和个人隐私的除外）。</w:t>
      </w:r>
    </w:p>
    <w:p>
      <w:pPr>
        <w:keepNext w:val="0"/>
        <w:keepLines w:val="0"/>
        <w:pageBreakBefore w:val="0"/>
        <w:widowControl w:val="0"/>
        <w:kinsoku/>
        <w:wordWrap/>
        <w:topLinePunct w:val="0"/>
        <w:autoSpaceDN/>
        <w:bidi w:val="0"/>
        <w:spacing w:before="0" w:beforeLines="0" w:after="0" w:afterLines="0" w:line="590" w:lineRule="exact"/>
        <w:ind w:right="0" w:rightChars="0"/>
        <w:jc w:val="center"/>
        <w:outlineLvl w:val="9"/>
        <w:rPr>
          <w:rFonts w:eastAsia="黑体"/>
          <w:snapToGrid w:val="0"/>
          <w:kern w:val="0"/>
          <w:szCs w:val="32"/>
        </w:rPr>
      </w:pPr>
      <w:r>
        <w:rPr>
          <w:rFonts w:eastAsia="黑体"/>
          <w:snapToGrid w:val="0"/>
          <w:kern w:val="0"/>
          <w:szCs w:val="32"/>
        </w:rPr>
        <w:t>第三章  监督检查内容与方式</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第十四条</w:t>
      </w:r>
      <w:r>
        <w:rPr>
          <w:snapToGrid w:val="0"/>
          <w:kern w:val="0"/>
          <w:szCs w:val="32"/>
        </w:rPr>
        <w:t xml:space="preserve">  行政权力清单运行监督检查内容，包括：</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（一）是否及时申请调整行政权力事项的设定依据；</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（二）是否</w:t>
      </w:r>
      <w:r>
        <w:rPr>
          <w:rFonts w:hint="eastAsia"/>
          <w:snapToGrid w:val="0"/>
          <w:kern w:val="0"/>
          <w:szCs w:val="32"/>
          <w:lang w:eastAsia="zh-CN"/>
        </w:rPr>
        <w:t>存在</w:t>
      </w:r>
      <w:r>
        <w:rPr>
          <w:snapToGrid w:val="0"/>
          <w:kern w:val="0"/>
          <w:szCs w:val="32"/>
        </w:rPr>
        <w:t>违法行政执法主体行使行政权力；</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（三）是否存在无行政执法资格人员行使行政权力；</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（四）行政权力清单运行程序是否符合法定程序要求；</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（五）是否按规定制定、适用行政裁量权基准；</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（六）是否按要求公开行政执法信息；</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（七）是否按规定公开行政权力清单；</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（八）公开的行政权力清单和市政务服务网配置是否一致；</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（九）其他需要监督检查的事项。</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第十五条</w:t>
      </w:r>
      <w:r>
        <w:rPr>
          <w:snapToGrid w:val="0"/>
          <w:kern w:val="0"/>
          <w:szCs w:val="32"/>
        </w:rPr>
        <w:t xml:space="preserve">  </w:t>
      </w:r>
      <w:r>
        <w:rPr>
          <w:rFonts w:hint="eastAsia"/>
          <w:snapToGrid w:val="0"/>
          <w:kern w:val="0"/>
          <w:szCs w:val="32"/>
        </w:rPr>
        <w:t>区</w:t>
      </w:r>
      <w:r>
        <w:rPr>
          <w:snapToGrid w:val="0"/>
          <w:kern w:val="0"/>
          <w:szCs w:val="32"/>
        </w:rPr>
        <w:t>人民政府应当对行政权力清单运行监督检查工作进行统一部署，建立联合督查机制，充分利用云技术、大数据等网络监督技术，进行定期或不定期监督检查。</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监督检查可采取自查和督查相结合、专项检查和随机抽查相结合、日常检查和年度考核相结合、卷宗评查和社会评议相结合等方式。</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第十六条</w:t>
      </w:r>
      <w:r>
        <w:rPr>
          <w:snapToGrid w:val="0"/>
          <w:kern w:val="0"/>
          <w:szCs w:val="32"/>
        </w:rPr>
        <w:t>　各</w:t>
      </w:r>
      <w:r>
        <w:rPr>
          <w:rFonts w:hint="eastAsia"/>
          <w:snapToGrid w:val="0"/>
          <w:kern w:val="0"/>
          <w:szCs w:val="32"/>
        </w:rPr>
        <w:t>单位</w:t>
      </w:r>
      <w:r>
        <w:rPr>
          <w:snapToGrid w:val="0"/>
          <w:kern w:val="0"/>
          <w:szCs w:val="32"/>
        </w:rPr>
        <w:t>应加强行政权力清单运行的内部制约，严格执行重大行政处罚法制审核及集体讨论制度，全面建立健全岗位责任制，深入推行行政执法责任制，规范行使裁量权，定期对行政权力清单运行情况进行自查。</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第十七条</w:t>
      </w:r>
      <w:r>
        <w:rPr>
          <w:snapToGrid w:val="0"/>
          <w:kern w:val="0"/>
          <w:szCs w:val="32"/>
        </w:rPr>
        <w:t xml:space="preserve">  </w:t>
      </w:r>
      <w:r>
        <w:rPr>
          <w:rFonts w:hint="eastAsia"/>
          <w:snapToGrid w:val="0"/>
          <w:kern w:val="0"/>
          <w:szCs w:val="32"/>
        </w:rPr>
        <w:t>区</w:t>
      </w:r>
      <w:r>
        <w:rPr>
          <w:snapToGrid w:val="0"/>
          <w:kern w:val="0"/>
          <w:szCs w:val="32"/>
        </w:rPr>
        <w:t>人民政府应完善层级监督机制，建立健全重大行政处罚备案审查、执法投诉举报等制度，并结合依法行政考核，认真开展行政执法卷宗评查和日常抽查，加强对行政权力清单运行情况的监督。监察、审计部门切实履行监督职责，依法及时查处行政权力清单运行过程中的违法行为。</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第十八条</w:t>
      </w:r>
      <w:r>
        <w:rPr>
          <w:snapToGrid w:val="0"/>
          <w:kern w:val="0"/>
          <w:szCs w:val="32"/>
        </w:rPr>
        <w:t xml:space="preserve">  监督检查时，可采取以下措施：</w:t>
      </w:r>
    </w:p>
    <w:p>
      <w:pPr>
        <w:keepNext w:val="0"/>
        <w:keepLines w:val="0"/>
        <w:pageBreakBefore w:val="0"/>
        <w:widowControl w:val="0"/>
        <w:kinsoku/>
        <w:wordWrap/>
        <w:topLinePunct w:val="0"/>
        <w:autoSpaceDN/>
        <w:bidi w:val="0"/>
        <w:spacing w:before="0" w:beforeLines="0" w:after="0" w:afterLines="0" w:line="590" w:lineRule="exact"/>
        <w:ind w:right="0" w:rightChars="0"/>
        <w:outlineLvl w:val="9"/>
        <w:rPr>
          <w:snapToGrid w:val="0"/>
          <w:kern w:val="0"/>
          <w:szCs w:val="32"/>
        </w:rPr>
      </w:pPr>
      <w:r>
        <w:rPr>
          <w:rFonts w:hint="eastAsia"/>
          <w:snapToGrid w:val="0"/>
          <w:kern w:val="0"/>
          <w:szCs w:val="32"/>
        </w:rPr>
        <w:t xml:space="preserve">    </w:t>
      </w:r>
      <w:r>
        <w:rPr>
          <w:snapToGrid w:val="0"/>
          <w:kern w:val="0"/>
          <w:szCs w:val="32"/>
        </w:rPr>
        <w:t>（一）要求被检查单位提供与行政权力清单运行、调整、监管有关的材料；</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（二）查阅、复制、调取行政执法案卷;</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（三）要求行使行政权力的机关和人员说明情况；</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（四）依法可以采取的其他措施。</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第十九条</w:t>
      </w:r>
      <w:r>
        <w:rPr>
          <w:snapToGrid w:val="0"/>
          <w:kern w:val="0"/>
          <w:szCs w:val="32"/>
        </w:rPr>
        <w:t xml:space="preserve">  建立行政权力清单运行监督结果公开制度，定期通报监督检查中发现的违法或不当的执法行为责任追究情况。</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第二十条</w:t>
      </w:r>
      <w:r>
        <w:rPr>
          <w:snapToGrid w:val="0"/>
          <w:kern w:val="0"/>
          <w:szCs w:val="32"/>
        </w:rPr>
        <w:t>　公民、法人和其他组织认为各</w:t>
      </w:r>
      <w:r>
        <w:rPr>
          <w:rFonts w:hint="eastAsia"/>
          <w:snapToGrid w:val="0"/>
          <w:kern w:val="0"/>
          <w:szCs w:val="32"/>
        </w:rPr>
        <w:t>单位</w:t>
      </w:r>
      <w:r>
        <w:rPr>
          <w:snapToGrid w:val="0"/>
          <w:kern w:val="0"/>
          <w:szCs w:val="32"/>
        </w:rPr>
        <w:t>违法行使行政权力，侵犯行政相对人利益的，可以依法进行投诉、举报。</w:t>
      </w:r>
    </w:p>
    <w:p>
      <w:pPr>
        <w:keepNext w:val="0"/>
        <w:keepLines w:val="0"/>
        <w:pageBreakBefore w:val="0"/>
        <w:widowControl w:val="0"/>
        <w:kinsoku/>
        <w:wordWrap/>
        <w:topLinePunct w:val="0"/>
        <w:autoSpaceDN/>
        <w:bidi w:val="0"/>
        <w:spacing w:before="0" w:beforeLines="0" w:after="0" w:afterLines="0" w:line="590" w:lineRule="exact"/>
        <w:ind w:right="0" w:rightChars="0"/>
        <w:jc w:val="center"/>
        <w:outlineLvl w:val="9"/>
        <w:rPr>
          <w:rFonts w:eastAsia="黑体"/>
          <w:snapToGrid w:val="0"/>
          <w:kern w:val="0"/>
          <w:szCs w:val="32"/>
        </w:rPr>
      </w:pPr>
      <w:r>
        <w:rPr>
          <w:rFonts w:eastAsia="黑体"/>
          <w:snapToGrid w:val="0"/>
          <w:kern w:val="0"/>
          <w:szCs w:val="32"/>
        </w:rPr>
        <w:t>第四章  责任追究</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第二十一条</w:t>
      </w:r>
      <w:r>
        <w:rPr>
          <w:snapToGrid w:val="0"/>
          <w:kern w:val="0"/>
          <w:szCs w:val="32"/>
        </w:rPr>
        <w:t>　违反本办法的规定，有下列情形之一的，应当依法依规追究有关</w:t>
      </w:r>
      <w:r>
        <w:rPr>
          <w:rFonts w:hint="eastAsia"/>
          <w:snapToGrid w:val="0"/>
          <w:kern w:val="0"/>
          <w:szCs w:val="32"/>
        </w:rPr>
        <w:t>单位</w:t>
      </w:r>
      <w:r>
        <w:rPr>
          <w:snapToGrid w:val="0"/>
          <w:kern w:val="0"/>
          <w:szCs w:val="32"/>
        </w:rPr>
        <w:t>和责任人的责任：</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（一）行政权力清单未按规定公开的；</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（二）行政权力事项的设定依据已经发生变化，未按规定申请调整的；</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（三）公开的行政权力事项和市政务服务网配置不一致的；</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（四）行政权力清单运行程序不符合法定程序要求的；</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（五）未按规定制定、适用行政裁量权行使基准的；</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（六）不具有法定行政主体资格行使行政权力的；</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（七）未取得合法有效行政执法资格行使行政权力的；</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（八）违法进行行政委托、行政授权的；</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（九）行政机关在行使行政权力过程中未完善案卷资料或未依法向行政相对人公开案卷资料的；</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（十）行政执法信息未按照要求主动公开的；</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（十一）拒绝或者阻挠监督检查工作的；</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（十二）其他违反本办法的行为。</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第二十二条</w:t>
      </w:r>
      <w:r>
        <w:rPr>
          <w:snapToGrid w:val="0"/>
          <w:kern w:val="0"/>
          <w:szCs w:val="32"/>
        </w:rPr>
        <w:t>　违反本办法的规定，有下列情形之一的，应当依法依规追究</w:t>
      </w:r>
      <w:r>
        <w:rPr>
          <w:rFonts w:hint="eastAsia"/>
          <w:snapToGrid w:val="0"/>
          <w:kern w:val="0"/>
          <w:szCs w:val="32"/>
        </w:rPr>
        <w:t>单位</w:t>
      </w:r>
      <w:r>
        <w:rPr>
          <w:snapToGrid w:val="0"/>
          <w:kern w:val="0"/>
          <w:szCs w:val="32"/>
        </w:rPr>
        <w:t>负责人和责任人责任：</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（一）不严格执行行政权力清单，继续实施清单以外权力事项，或者将清单之外的事项变相设为保留事项前置条件实施的；</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 xml:space="preserve">（二）继续实施已调整、取消或下放的行政权力事项的； </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snapToGrid w:val="0"/>
          <w:kern w:val="0"/>
          <w:szCs w:val="32"/>
        </w:rPr>
        <w:t>（三）擅自设定或者变相设定行政权力事项、运行环节或前置条件的。</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第二十三条</w:t>
      </w:r>
      <w:r>
        <w:rPr>
          <w:snapToGrid w:val="0"/>
          <w:kern w:val="0"/>
          <w:szCs w:val="32"/>
        </w:rPr>
        <w:t>　擅自扩大、缩小、放弃行使政府权力清单事项的，应当依法依规追究责任人责任。</w:t>
      </w:r>
    </w:p>
    <w:p>
      <w:pPr>
        <w:keepNext w:val="0"/>
        <w:keepLines w:val="0"/>
        <w:pageBreakBefore w:val="0"/>
        <w:widowControl w:val="0"/>
        <w:kinsoku/>
        <w:wordWrap/>
        <w:topLinePunct w:val="0"/>
        <w:autoSpaceDN/>
        <w:bidi w:val="0"/>
        <w:spacing w:before="0" w:beforeLines="0" w:after="0" w:afterLines="0" w:line="590" w:lineRule="exact"/>
        <w:ind w:right="0" w:rightChars="0"/>
        <w:jc w:val="center"/>
        <w:outlineLvl w:val="9"/>
        <w:rPr>
          <w:rFonts w:eastAsia="黑体"/>
          <w:snapToGrid w:val="0"/>
          <w:kern w:val="0"/>
          <w:szCs w:val="32"/>
        </w:rPr>
      </w:pPr>
      <w:r>
        <w:rPr>
          <w:rFonts w:eastAsia="黑体"/>
          <w:snapToGrid w:val="0"/>
          <w:kern w:val="0"/>
          <w:szCs w:val="32"/>
        </w:rPr>
        <w:t>第五章  附则</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第二十四条</w:t>
      </w:r>
      <w:r>
        <w:rPr>
          <w:snapToGrid w:val="0"/>
          <w:kern w:val="0"/>
          <w:szCs w:val="32"/>
        </w:rPr>
        <w:t xml:space="preserve">　法律、法规、规章对行政权力清单运行监督管理另有规定的，从其规定。 </w:t>
      </w:r>
    </w:p>
    <w:p>
      <w:pPr>
        <w:keepNext w:val="0"/>
        <w:keepLines w:val="0"/>
        <w:pageBreakBefore w:val="0"/>
        <w:widowControl w:val="0"/>
        <w:kinsoku/>
        <w:wordWrap/>
        <w:topLinePunct w:val="0"/>
        <w:autoSpaceDN/>
        <w:bidi w:val="0"/>
        <w:spacing w:before="0" w:beforeLines="0" w:after="0" w:afterLines="0" w:line="590" w:lineRule="exact"/>
        <w:ind w:right="0" w:rightChars="0" w:firstLine="640" w:firstLineChars="200"/>
        <w:outlineLvl w:val="9"/>
        <w:rPr>
          <w:snapToGrid w:val="0"/>
          <w:kern w:val="0"/>
          <w:szCs w:val="32"/>
        </w:rPr>
      </w:pPr>
      <w:r>
        <w:rPr>
          <w:rFonts w:eastAsia="楷体_GB2312"/>
          <w:snapToGrid w:val="0"/>
          <w:kern w:val="0"/>
          <w:szCs w:val="32"/>
        </w:rPr>
        <w:t>第二十五条</w:t>
      </w:r>
      <w:r>
        <w:rPr>
          <w:snapToGrid w:val="0"/>
          <w:kern w:val="0"/>
          <w:szCs w:val="32"/>
        </w:rPr>
        <w:t>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1"/>
    <w:family w:val="moder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26727"/>
    <w:rsid w:val="6CA2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2024-10-22T07:41:00Z</dcterms:created>
  <dc:creator>admin</dc:creator>
  <cp:lastModifiedBy>admin</cp:lastModifiedBy>
  <dcterms:modified xsi:type="dcterms:W3CDTF">2024-10-22T07:42:24Z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